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C069B" w14:textId="47970BA1" w:rsidR="00CD4BDB" w:rsidRDefault="00001996" w:rsidP="00CD4BDB">
      <w:pPr>
        <w:spacing w:before="100" w:beforeAutospacing="1" w:after="100" w:afterAutospacing="1" w:line="240" w:lineRule="auto"/>
        <w:jc w:val="both"/>
        <w:outlineLvl w:val="1"/>
        <w:rPr>
          <w:rFonts w:ascii="Times New Roman" w:eastAsia="Times New Roman" w:hAnsi="Times New Roman" w:cs="Times New Roman"/>
          <w:b/>
          <w:bCs/>
          <w:kern w:val="36"/>
          <w:sz w:val="36"/>
          <w:szCs w:val="36"/>
          <w:lang w:eastAsia="en-ID"/>
          <w14:ligatures w14:val="none"/>
        </w:rPr>
      </w:pPr>
      <w:r w:rsidRPr="00001996">
        <w:rPr>
          <w:rFonts w:ascii="Times New Roman" w:eastAsia="Times New Roman" w:hAnsi="Times New Roman" w:cs="Times New Roman"/>
          <w:b/>
          <w:bCs/>
          <w:kern w:val="36"/>
          <w:sz w:val="36"/>
          <w:szCs w:val="36"/>
          <w:lang w:eastAsia="en-ID"/>
          <w14:ligatures w14:val="none"/>
        </w:rPr>
        <w:t xml:space="preserve">Learning to Eat, Eating to Learn: The Impact of School-Based Nutrition Education and Meal Programs on Health, </w:t>
      </w:r>
      <w:proofErr w:type="spellStart"/>
      <w:r w:rsidRPr="00001996">
        <w:rPr>
          <w:rFonts w:ascii="Times New Roman" w:eastAsia="Times New Roman" w:hAnsi="Times New Roman" w:cs="Times New Roman"/>
          <w:b/>
          <w:bCs/>
          <w:kern w:val="36"/>
          <w:sz w:val="36"/>
          <w:szCs w:val="36"/>
          <w:lang w:eastAsia="en-ID"/>
          <w14:ligatures w14:val="none"/>
        </w:rPr>
        <w:t>Behavior</w:t>
      </w:r>
      <w:proofErr w:type="spellEnd"/>
      <w:r w:rsidRPr="00001996">
        <w:rPr>
          <w:rFonts w:ascii="Times New Roman" w:eastAsia="Times New Roman" w:hAnsi="Times New Roman" w:cs="Times New Roman"/>
          <w:b/>
          <w:bCs/>
          <w:kern w:val="36"/>
          <w:sz w:val="36"/>
          <w:szCs w:val="36"/>
          <w:lang w:eastAsia="en-ID"/>
          <w14:ligatures w14:val="none"/>
        </w:rPr>
        <w:t xml:space="preserve">, and Long-Term Human </w:t>
      </w:r>
      <w:proofErr w:type="gramStart"/>
      <w:r w:rsidRPr="00001996">
        <w:rPr>
          <w:rFonts w:ascii="Times New Roman" w:eastAsia="Times New Roman" w:hAnsi="Times New Roman" w:cs="Times New Roman"/>
          <w:b/>
          <w:bCs/>
          <w:kern w:val="36"/>
          <w:sz w:val="36"/>
          <w:szCs w:val="36"/>
          <w:lang w:eastAsia="en-ID"/>
          <w14:ligatures w14:val="none"/>
        </w:rPr>
        <w:t>Capital</w:t>
      </w:r>
      <w:r>
        <w:rPr>
          <w:rFonts w:ascii="Times New Roman" w:eastAsia="Times New Roman" w:hAnsi="Times New Roman" w:cs="Times New Roman"/>
          <w:b/>
          <w:bCs/>
          <w:kern w:val="36"/>
          <w:sz w:val="36"/>
          <w:szCs w:val="36"/>
          <w:lang w:eastAsia="en-ID"/>
          <w14:ligatures w14:val="none"/>
        </w:rPr>
        <w:t xml:space="preserve"> :</w:t>
      </w:r>
      <w:proofErr w:type="gramEnd"/>
      <w:r>
        <w:rPr>
          <w:rFonts w:ascii="Times New Roman" w:eastAsia="Times New Roman" w:hAnsi="Times New Roman" w:cs="Times New Roman"/>
          <w:b/>
          <w:bCs/>
          <w:kern w:val="36"/>
          <w:sz w:val="36"/>
          <w:szCs w:val="36"/>
          <w:lang w:eastAsia="en-ID"/>
          <w14:ligatures w14:val="none"/>
        </w:rPr>
        <w:t xml:space="preserve"> A Systematic Literature Review</w:t>
      </w:r>
    </w:p>
    <w:p w14:paraId="1FA66637" w14:textId="093D2DA0" w:rsidR="001D6980" w:rsidRPr="00CD4BDB" w:rsidRDefault="001D6980"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Abstract</w:t>
      </w:r>
    </w:p>
    <w:p w14:paraId="7D6F4AB0" w14:textId="7F3BDDB7" w:rsidR="001D6980" w:rsidRPr="00CD4BDB" w:rsidRDefault="00674D5B" w:rsidP="00674D5B">
      <w:pPr>
        <w:spacing w:before="100" w:beforeAutospacing="1" w:after="100" w:afterAutospacing="1" w:line="276" w:lineRule="auto"/>
        <w:jc w:val="both"/>
        <w:rPr>
          <w:rFonts w:ascii="Times New Roman" w:eastAsia="Times New Roman" w:hAnsi="Times New Roman" w:cs="Times New Roman"/>
          <w:kern w:val="0"/>
          <w:sz w:val="24"/>
          <w:szCs w:val="24"/>
          <w:lang w:eastAsia="en-ID"/>
          <w14:ligatures w14:val="none"/>
        </w:rPr>
      </w:pPr>
      <w:r w:rsidRPr="00674D5B">
        <w:rPr>
          <w:rFonts w:ascii="Times New Roman" w:eastAsia="Times New Roman" w:hAnsi="Times New Roman" w:cs="Times New Roman"/>
          <w:b/>
          <w:bCs/>
          <w:kern w:val="0"/>
          <w:sz w:val="24"/>
          <w:szCs w:val="24"/>
          <w:lang w:eastAsia="en-ID"/>
          <w14:ligatures w14:val="none"/>
        </w:rPr>
        <w:t>Background:</w:t>
      </w:r>
      <w:r w:rsidRPr="00674D5B">
        <w:rPr>
          <w:rFonts w:ascii="Times New Roman" w:eastAsia="Times New Roman" w:hAnsi="Times New Roman" w:cs="Times New Roman"/>
          <w:kern w:val="0"/>
          <w:sz w:val="24"/>
          <w:szCs w:val="24"/>
          <w:lang w:eastAsia="en-ID"/>
          <w14:ligatures w14:val="none"/>
        </w:rPr>
        <w:t xml:space="preserve"> School-based nutrition education and meal programs are essential for enhancing children’s health, learning outcomes, and equity in access to nutritious food. This systematic review examines the synergistic effects of combining nutrition education, school meals, and supportive food environments on dietary </w:t>
      </w:r>
      <w:proofErr w:type="spellStart"/>
      <w:r w:rsidRPr="00674D5B">
        <w:rPr>
          <w:rFonts w:ascii="Times New Roman" w:eastAsia="Times New Roman" w:hAnsi="Times New Roman" w:cs="Times New Roman"/>
          <w:kern w:val="0"/>
          <w:sz w:val="24"/>
          <w:szCs w:val="24"/>
          <w:lang w:eastAsia="en-ID"/>
          <w14:ligatures w14:val="none"/>
        </w:rPr>
        <w:t>behavior</w:t>
      </w:r>
      <w:proofErr w:type="spellEnd"/>
      <w:r w:rsidRPr="00674D5B">
        <w:rPr>
          <w:rFonts w:ascii="Times New Roman" w:eastAsia="Times New Roman" w:hAnsi="Times New Roman" w:cs="Times New Roman"/>
          <w:kern w:val="0"/>
          <w:sz w:val="24"/>
          <w:szCs w:val="24"/>
          <w:lang w:eastAsia="en-ID"/>
          <w14:ligatures w14:val="none"/>
        </w:rPr>
        <w:t>, academic achievement, and long-term development.</w:t>
      </w:r>
      <w:r w:rsidRPr="00674D5B">
        <w:rPr>
          <w:rFonts w:ascii="Times New Roman" w:eastAsia="Times New Roman" w:hAnsi="Times New Roman" w:cs="Times New Roman"/>
          <w:kern w:val="0"/>
          <w:sz w:val="24"/>
          <w:szCs w:val="24"/>
          <w:lang w:eastAsia="en-ID"/>
          <w14:ligatures w14:val="none"/>
        </w:rPr>
        <w:br/>
      </w:r>
      <w:r w:rsidRPr="00674D5B">
        <w:rPr>
          <w:rFonts w:ascii="Times New Roman" w:eastAsia="Times New Roman" w:hAnsi="Times New Roman" w:cs="Times New Roman"/>
          <w:b/>
          <w:bCs/>
          <w:kern w:val="0"/>
          <w:sz w:val="24"/>
          <w:szCs w:val="24"/>
          <w:lang w:eastAsia="en-ID"/>
          <w14:ligatures w14:val="none"/>
        </w:rPr>
        <w:t>Methods:</w:t>
      </w:r>
      <w:r w:rsidRPr="00674D5B">
        <w:rPr>
          <w:rFonts w:ascii="Times New Roman" w:eastAsia="Times New Roman" w:hAnsi="Times New Roman" w:cs="Times New Roman"/>
          <w:kern w:val="0"/>
          <w:sz w:val="24"/>
          <w:szCs w:val="24"/>
          <w:lang w:eastAsia="en-ID"/>
          <w14:ligatures w14:val="none"/>
        </w:rPr>
        <w:t xml:space="preserve"> Following PRISMA 2020 guidelines, comprehensive searches were conducted across Scopus, PubMed, and ERIC for studies published between 2021 and 2025. Twenty-six studies met inclusion criteria and were appraised using the Mixed Methods Appraisal Tool (MMAT) and ROBINS-I frameworks. Evidence was synthesized under four themes: (1) classroom and experiential learning, (2) cafeteria choice architecture, (3) integrated multicomponent interventions, and (4) policy and human capital outcomes.</w:t>
      </w:r>
      <w:r w:rsidRPr="00674D5B">
        <w:rPr>
          <w:rFonts w:ascii="Times New Roman" w:eastAsia="Times New Roman" w:hAnsi="Times New Roman" w:cs="Times New Roman"/>
          <w:kern w:val="0"/>
          <w:sz w:val="24"/>
          <w:szCs w:val="24"/>
          <w:lang w:eastAsia="en-ID"/>
          <w14:ligatures w14:val="none"/>
        </w:rPr>
        <w:br/>
      </w:r>
      <w:r w:rsidRPr="00674D5B">
        <w:rPr>
          <w:rFonts w:ascii="Times New Roman" w:eastAsia="Times New Roman" w:hAnsi="Times New Roman" w:cs="Times New Roman"/>
          <w:b/>
          <w:bCs/>
          <w:kern w:val="0"/>
          <w:sz w:val="24"/>
          <w:szCs w:val="24"/>
          <w:lang w:eastAsia="en-ID"/>
          <w14:ligatures w14:val="none"/>
        </w:rPr>
        <w:t>Results:</w:t>
      </w:r>
      <w:r w:rsidRPr="00674D5B">
        <w:rPr>
          <w:rFonts w:ascii="Times New Roman" w:eastAsia="Times New Roman" w:hAnsi="Times New Roman" w:cs="Times New Roman"/>
          <w:kern w:val="0"/>
          <w:sz w:val="24"/>
          <w:szCs w:val="24"/>
          <w:lang w:eastAsia="en-ID"/>
          <w14:ligatures w14:val="none"/>
        </w:rPr>
        <w:t xml:space="preserve"> Integrated interventions significantly improved nutrition literacy, dietary diversity, and fruit and vegetable intake while reducing waste. Experiential learning—gardening, cooking, and sensory-based education—was especially effective in fostering lasting </w:t>
      </w:r>
      <w:proofErr w:type="spellStart"/>
      <w:r w:rsidRPr="00674D5B">
        <w:rPr>
          <w:rFonts w:ascii="Times New Roman" w:eastAsia="Times New Roman" w:hAnsi="Times New Roman" w:cs="Times New Roman"/>
          <w:kern w:val="0"/>
          <w:sz w:val="24"/>
          <w:szCs w:val="24"/>
          <w:lang w:eastAsia="en-ID"/>
          <w14:ligatures w14:val="none"/>
        </w:rPr>
        <w:t>behavioral</w:t>
      </w:r>
      <w:proofErr w:type="spellEnd"/>
      <w:r w:rsidRPr="00674D5B">
        <w:rPr>
          <w:rFonts w:ascii="Times New Roman" w:eastAsia="Times New Roman" w:hAnsi="Times New Roman" w:cs="Times New Roman"/>
          <w:kern w:val="0"/>
          <w:sz w:val="24"/>
          <w:szCs w:val="24"/>
          <w:lang w:eastAsia="en-ID"/>
          <w14:ligatures w14:val="none"/>
        </w:rPr>
        <w:t xml:space="preserve"> change. Programs integrating educational content with environmental adjustments, such as meal presentation and recess timing, achieved stronger and more sustainable impacts. National school meal policies enhanced attendance, academic success, and equity, underscoring their role in reducing inequality and promoting socioeconomic advancement.</w:t>
      </w:r>
      <w:r w:rsidRPr="00674D5B">
        <w:rPr>
          <w:rFonts w:ascii="Times New Roman" w:eastAsia="Times New Roman" w:hAnsi="Times New Roman" w:cs="Times New Roman"/>
          <w:kern w:val="0"/>
          <w:sz w:val="24"/>
          <w:szCs w:val="24"/>
          <w:lang w:eastAsia="en-ID"/>
          <w14:ligatures w14:val="none"/>
        </w:rPr>
        <w:br/>
      </w:r>
      <w:r w:rsidRPr="00674D5B">
        <w:rPr>
          <w:rFonts w:ascii="Times New Roman" w:eastAsia="Times New Roman" w:hAnsi="Times New Roman" w:cs="Times New Roman"/>
          <w:b/>
          <w:bCs/>
          <w:kern w:val="0"/>
          <w:sz w:val="24"/>
          <w:szCs w:val="24"/>
          <w:lang w:eastAsia="en-ID"/>
          <w14:ligatures w14:val="none"/>
        </w:rPr>
        <w:t>Conclusion:</w:t>
      </w:r>
      <w:r w:rsidRPr="00674D5B">
        <w:rPr>
          <w:rFonts w:ascii="Times New Roman" w:eastAsia="Times New Roman" w:hAnsi="Times New Roman" w:cs="Times New Roman"/>
          <w:kern w:val="0"/>
          <w:sz w:val="24"/>
          <w:szCs w:val="24"/>
          <w:lang w:eastAsia="en-ID"/>
          <w14:ligatures w14:val="none"/>
        </w:rPr>
        <w:t xml:space="preserve"> Integrating nutrition education with meal programs provides a scalable, sustainable approach to improving child health and educational outcomes. Policymakers should strengthen these systems through cross-sector collaboration, standardized evaluation, and continued investment in universal nutrition programs that promote health, learning, and human capital development.</w:t>
      </w:r>
    </w:p>
    <w:p w14:paraId="31913F98" w14:textId="77777777" w:rsidR="001D6980" w:rsidRPr="00CD4BDB" w:rsidRDefault="001D6980"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Keywords</w:t>
      </w:r>
    </w:p>
    <w:p w14:paraId="3C7E9E40" w14:textId="1FB627A5" w:rsidR="001D6980" w:rsidRPr="00CD4BDB" w:rsidRDefault="001D6980"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School-based nutrition education; school meal programs; experiential learning; food environment; dietary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educational equity; human capital development; PRISMA; health promotion; nutrition policy; global education.</w:t>
      </w:r>
    </w:p>
    <w:p w14:paraId="1DF9A521" w14:textId="3DF00863" w:rsidR="00091BDC" w:rsidRPr="00CD4BDB" w:rsidRDefault="00091BDC" w:rsidP="00CD4BDB">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D"/>
          <w14:ligatures w14:val="none"/>
        </w:rPr>
      </w:pPr>
      <w:r w:rsidRPr="00CD4BDB">
        <w:rPr>
          <w:rFonts w:ascii="Times New Roman" w:eastAsia="Times New Roman" w:hAnsi="Times New Roman" w:cs="Times New Roman"/>
          <w:b/>
          <w:bCs/>
          <w:kern w:val="36"/>
          <w:sz w:val="24"/>
          <w:szCs w:val="24"/>
          <w:lang w:eastAsia="en-ID"/>
          <w14:ligatures w14:val="none"/>
        </w:rPr>
        <w:t>1. Introduction</w:t>
      </w:r>
    </w:p>
    <w:p w14:paraId="0D40A94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School-based nutrition education programs are instrumental in shaping students’ dietary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and improving health outcomes globally. These programs elevate nutritional knowledge and awareness, as evidenced by studies demonstrating significant positive changes in children’s food choices and eating patterns through comprehensive interventions (Collado-Soler et al., 2023; Xu et al., 2022; O’Brien et al., 2021). Such initiatives, particularly when integrated with school meal programs, create an environment conducive to fostering healthy </w:t>
      </w:r>
      <w:r w:rsidRPr="00CD4BDB">
        <w:rPr>
          <w:rFonts w:ascii="Times New Roman" w:eastAsia="Times New Roman" w:hAnsi="Times New Roman" w:cs="Times New Roman"/>
          <w:kern w:val="0"/>
          <w:sz w:val="24"/>
          <w:szCs w:val="24"/>
          <w:lang w:eastAsia="en-ID"/>
          <w14:ligatures w14:val="none"/>
        </w:rPr>
        <w:lastRenderedPageBreak/>
        <w:t>dietary habits that can persist beyond childhood (</w:t>
      </w:r>
      <w:proofErr w:type="spellStart"/>
      <w:r w:rsidRPr="00CD4BDB">
        <w:rPr>
          <w:rFonts w:ascii="Times New Roman" w:eastAsia="Times New Roman" w:hAnsi="Times New Roman" w:cs="Times New Roman"/>
          <w:kern w:val="0"/>
          <w:sz w:val="24"/>
          <w:szCs w:val="24"/>
          <w:lang w:eastAsia="en-ID"/>
          <w14:ligatures w14:val="none"/>
        </w:rPr>
        <w:t>Karecka</w:t>
      </w:r>
      <w:proofErr w:type="spellEnd"/>
      <w:r w:rsidRPr="00CD4BDB">
        <w:rPr>
          <w:rFonts w:ascii="Times New Roman" w:eastAsia="Times New Roman" w:hAnsi="Times New Roman" w:cs="Times New Roman"/>
          <w:kern w:val="0"/>
          <w:sz w:val="24"/>
          <w:szCs w:val="24"/>
          <w:lang w:eastAsia="en-ID"/>
          <w14:ligatures w14:val="none"/>
        </w:rPr>
        <w:t xml:space="preserve"> et al., 2023; </w:t>
      </w:r>
      <w:proofErr w:type="spellStart"/>
      <w:r w:rsidRPr="00CD4BDB">
        <w:rPr>
          <w:rFonts w:ascii="Times New Roman" w:eastAsia="Times New Roman" w:hAnsi="Times New Roman" w:cs="Times New Roman"/>
          <w:kern w:val="0"/>
          <w:sz w:val="24"/>
          <w:szCs w:val="24"/>
          <w:lang w:eastAsia="en-ID"/>
          <w14:ligatures w14:val="none"/>
        </w:rPr>
        <w:t>Hamułka</w:t>
      </w:r>
      <w:proofErr w:type="spellEnd"/>
      <w:r w:rsidRPr="00CD4BDB">
        <w:rPr>
          <w:rFonts w:ascii="Times New Roman" w:eastAsia="Times New Roman" w:hAnsi="Times New Roman" w:cs="Times New Roman"/>
          <w:kern w:val="0"/>
          <w:sz w:val="24"/>
          <w:szCs w:val="24"/>
          <w:lang w:eastAsia="en-ID"/>
          <w14:ligatures w14:val="none"/>
        </w:rPr>
        <w:t xml:space="preserve"> et al., 2018). The integration of education and food provision ensures that students not only learn about nutrition but also apply this knowledge daily, reinforcing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change through experience.</w:t>
      </w:r>
    </w:p>
    <w:p w14:paraId="04AAAFF2"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Integrating nutrition education within school lunch programs enhances both learning and health, affirming that effective dietary practices can lead to better academic performance and overall wellbeing (</w:t>
      </w:r>
      <w:proofErr w:type="spellStart"/>
      <w:r w:rsidRPr="00CD4BDB">
        <w:rPr>
          <w:rFonts w:ascii="Times New Roman" w:eastAsia="Times New Roman" w:hAnsi="Times New Roman" w:cs="Times New Roman"/>
          <w:kern w:val="0"/>
          <w:sz w:val="24"/>
          <w:szCs w:val="24"/>
          <w:lang w:eastAsia="en-ID"/>
          <w14:ligatures w14:val="none"/>
        </w:rPr>
        <w:t>Nwachan</w:t>
      </w:r>
      <w:proofErr w:type="spellEnd"/>
      <w:r w:rsidRPr="00CD4BDB">
        <w:rPr>
          <w:rFonts w:ascii="Times New Roman" w:eastAsia="Times New Roman" w:hAnsi="Times New Roman" w:cs="Times New Roman"/>
          <w:kern w:val="0"/>
          <w:sz w:val="24"/>
          <w:szCs w:val="24"/>
          <w:lang w:eastAsia="en-ID"/>
          <w14:ligatures w14:val="none"/>
        </w:rPr>
        <w:t xml:space="preserve"> et al., 2024; Sarr et al., 2017). Schools serve as vital platforms for delivering health education, helping to establish consistent dietary habits that mitigate challenges such as childhood obesity, undernutrition, and micronutrient deficiencies (</w:t>
      </w:r>
      <w:proofErr w:type="spellStart"/>
      <w:r w:rsidRPr="00CD4BDB">
        <w:rPr>
          <w:rFonts w:ascii="Times New Roman" w:eastAsia="Times New Roman" w:hAnsi="Times New Roman" w:cs="Times New Roman"/>
          <w:kern w:val="0"/>
          <w:sz w:val="24"/>
          <w:szCs w:val="24"/>
          <w:lang w:eastAsia="en-ID"/>
          <w14:ligatures w14:val="none"/>
        </w:rPr>
        <w:t>Emiroğlu</w:t>
      </w:r>
      <w:proofErr w:type="spellEnd"/>
      <w:r w:rsidRPr="00CD4BDB">
        <w:rPr>
          <w:rFonts w:ascii="Times New Roman" w:eastAsia="Times New Roman" w:hAnsi="Times New Roman" w:cs="Times New Roman"/>
          <w:kern w:val="0"/>
          <w:sz w:val="24"/>
          <w:szCs w:val="24"/>
          <w:lang w:eastAsia="en-ID"/>
          <w14:ligatures w14:val="none"/>
        </w:rPr>
        <w:t xml:space="preserve"> et al., 2022; Schultz &amp; Bundy, 2022). When aligned with structured meal programs, nutrition education helps create food environments that normalize balanced eating and provide equal access to nutritious foods, particularly in low-resource contexts. This dual approach—education coupled with access—underscores the pivotal role schools play in shaping not only students’ health trajectories but also their cognitive and social development.</w:t>
      </w:r>
    </w:p>
    <w:p w14:paraId="232C9A04"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Educational institutions have evolved as critical platforms for both learning and nutrition intervention. Traditionally viewed solely as academic environments, schools now serve as integrated systems addressing public health challenges, including malnutrition and obesity, through comprehensive nutrition education and meal provision (Haddad et al., 2015; Ickes et al., 2014; </w:t>
      </w:r>
      <w:proofErr w:type="spellStart"/>
      <w:r w:rsidRPr="00CD4BDB">
        <w:rPr>
          <w:rFonts w:ascii="Times New Roman" w:eastAsia="Times New Roman" w:hAnsi="Times New Roman" w:cs="Times New Roman"/>
          <w:kern w:val="0"/>
          <w:sz w:val="24"/>
          <w:szCs w:val="24"/>
          <w:lang w:eastAsia="en-ID"/>
          <w14:ligatures w14:val="none"/>
        </w:rPr>
        <w:t>Sidaner</w:t>
      </w:r>
      <w:proofErr w:type="spellEnd"/>
      <w:r w:rsidRPr="00CD4BDB">
        <w:rPr>
          <w:rFonts w:ascii="Times New Roman" w:eastAsia="Times New Roman" w:hAnsi="Times New Roman" w:cs="Times New Roman"/>
          <w:kern w:val="0"/>
          <w:sz w:val="24"/>
          <w:szCs w:val="24"/>
          <w:lang w:eastAsia="en-ID"/>
          <w14:ligatures w14:val="none"/>
        </w:rPr>
        <w:t xml:space="preserve"> et al., 2012). For instance, the Brazilian School Feeding Program (PNAE) exemplifies a successful integrated approach that aligns nutrition education with national food security and sustainability goals, enhancing both dietary intake and educational outcomes (</w:t>
      </w:r>
      <w:proofErr w:type="spellStart"/>
      <w:r w:rsidRPr="00CD4BDB">
        <w:rPr>
          <w:rFonts w:ascii="Times New Roman" w:eastAsia="Times New Roman" w:hAnsi="Times New Roman" w:cs="Times New Roman"/>
          <w:kern w:val="0"/>
          <w:sz w:val="24"/>
          <w:szCs w:val="24"/>
          <w:lang w:eastAsia="en-ID"/>
          <w14:ligatures w14:val="none"/>
        </w:rPr>
        <w:t>Sidaner</w:t>
      </w:r>
      <w:proofErr w:type="spellEnd"/>
      <w:r w:rsidRPr="00CD4BDB">
        <w:rPr>
          <w:rFonts w:ascii="Times New Roman" w:eastAsia="Times New Roman" w:hAnsi="Times New Roman" w:cs="Times New Roman"/>
          <w:kern w:val="0"/>
          <w:sz w:val="24"/>
          <w:szCs w:val="24"/>
          <w:lang w:eastAsia="en-ID"/>
          <w14:ligatures w14:val="none"/>
        </w:rPr>
        <w:t xml:space="preserve"> et al., 2012). This holistic framework—linking health, education, and agriculture sectors—has been replicated and adapted worldwide, reinforcing the understanding that nutrition and education are mutually reinforcing components of human development. Schools, therefore, are not merely spaces for cognitive instruction but also transformative environments that foster health equity and social inclusion.</w:t>
      </w:r>
    </w:p>
    <w:p w14:paraId="011D450A"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Despite significant progress, harmonizing nutrition policies with educational objectives across diverse regions remains a pressing challenge. Persistent barriers such as limited funding, inadequate infrastructure, and insufficiently trained personnel often hinder effective implementation and sustainability (</w:t>
      </w:r>
      <w:proofErr w:type="spellStart"/>
      <w:r w:rsidRPr="00CD4BDB">
        <w:rPr>
          <w:rFonts w:ascii="Times New Roman" w:eastAsia="Times New Roman" w:hAnsi="Times New Roman" w:cs="Times New Roman"/>
          <w:kern w:val="0"/>
          <w:sz w:val="24"/>
          <w:szCs w:val="24"/>
          <w:lang w:eastAsia="en-ID"/>
          <w14:ligatures w14:val="none"/>
        </w:rPr>
        <w:t>Quaidoo</w:t>
      </w:r>
      <w:proofErr w:type="spellEnd"/>
      <w:r w:rsidRPr="00CD4BDB">
        <w:rPr>
          <w:rFonts w:ascii="Times New Roman" w:eastAsia="Times New Roman" w:hAnsi="Times New Roman" w:cs="Times New Roman"/>
          <w:kern w:val="0"/>
          <w:sz w:val="24"/>
          <w:szCs w:val="24"/>
          <w:lang w:eastAsia="en-ID"/>
          <w14:ligatures w14:val="none"/>
        </w:rPr>
        <w:t xml:space="preserve"> et al., 2022; Esdaile et al., 2024; Gillespie et al., 2013). Moreover, the lack of intersectoral coordination between health and education systems reduces program coherence and impact. Yet, there are emerging opportunities to bridge these gaps through multisectoral collaboration and participatory governance models. Evidence from recent initiatives shows that collaboration among educators, policymakers, nutrition experts, and community members enhances policy effectiveness and cultural relevance (</w:t>
      </w:r>
      <w:proofErr w:type="spellStart"/>
      <w:r w:rsidRPr="00CD4BDB">
        <w:rPr>
          <w:rFonts w:ascii="Times New Roman" w:eastAsia="Times New Roman" w:hAnsi="Times New Roman" w:cs="Times New Roman"/>
          <w:kern w:val="0"/>
          <w:sz w:val="24"/>
          <w:szCs w:val="24"/>
          <w:lang w:eastAsia="en-ID"/>
          <w14:ligatures w14:val="none"/>
        </w:rPr>
        <w:t>Quaidoo</w:t>
      </w:r>
      <w:proofErr w:type="spellEnd"/>
      <w:r w:rsidRPr="00CD4BDB">
        <w:rPr>
          <w:rFonts w:ascii="Times New Roman" w:eastAsia="Times New Roman" w:hAnsi="Times New Roman" w:cs="Times New Roman"/>
          <w:kern w:val="0"/>
          <w:sz w:val="24"/>
          <w:szCs w:val="24"/>
          <w:lang w:eastAsia="en-ID"/>
          <w14:ligatures w14:val="none"/>
        </w:rPr>
        <w:t xml:space="preserve"> et al., 2022; Cullerton et al., 2018). Localized adaptation, particularly in program design and menu planning, can improve both acceptance and sustainability of school-based interventions (Baker et al., 2018; Olstad et al., 2017). These findings emphasize the importance of context-specific implementation and stakeholder engagement in ensuring that nutrition education and meal programs achieve their intended outcomes.</w:t>
      </w:r>
    </w:p>
    <w:p w14:paraId="5AEE479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In summary, the convergence of nutrition education and school meal programs presents a robust strategy for improving both health and educational outcomes. This review aims to systematically examine the global evidence on integrated school-based nutrition programs, focusing on their effectiveness, contextual determinants, and contributions to long-term human capital development. By adopting a systems perspective, the paper seeks to illuminate how the interplay of education, policy, and practice can create sustainable improvements in dietary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learning outcomes, and equity. The synthesis presented herein contributes to a </w:t>
      </w:r>
      <w:r w:rsidRPr="00CD4BDB">
        <w:rPr>
          <w:rFonts w:ascii="Times New Roman" w:eastAsia="Times New Roman" w:hAnsi="Times New Roman" w:cs="Times New Roman"/>
          <w:kern w:val="0"/>
          <w:sz w:val="24"/>
          <w:szCs w:val="24"/>
          <w:lang w:eastAsia="en-ID"/>
          <w14:ligatures w14:val="none"/>
        </w:rPr>
        <w:lastRenderedPageBreak/>
        <w:t>growing body of literature emphasizing that learning to eat and eating to learn are interdependent processes foundational to lifelong wellbeing and societal progress.</w:t>
      </w:r>
    </w:p>
    <w:p w14:paraId="6C8F2DE0" w14:textId="77777777" w:rsidR="00091BDC" w:rsidRPr="00CD4BDB" w:rsidRDefault="00091BDC" w:rsidP="00CD4BDB">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D"/>
          <w14:ligatures w14:val="none"/>
        </w:rPr>
      </w:pPr>
      <w:r w:rsidRPr="00CD4BDB">
        <w:rPr>
          <w:rFonts w:ascii="Times New Roman" w:eastAsia="Times New Roman" w:hAnsi="Times New Roman" w:cs="Times New Roman"/>
          <w:b/>
          <w:bCs/>
          <w:kern w:val="36"/>
          <w:sz w:val="24"/>
          <w:szCs w:val="24"/>
          <w:lang w:eastAsia="en-ID"/>
          <w14:ligatures w14:val="none"/>
        </w:rPr>
        <w:t>2. Methods</w:t>
      </w:r>
    </w:p>
    <w:p w14:paraId="4BDFD35A"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2.1 Search Strategy</w:t>
      </w:r>
    </w:p>
    <w:p w14:paraId="64BC0088"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To effectively identify studies on school-based nutrition education and meal programs, a robust database search strategy was developed using Boolean logic and field-specific operators. Databases such as </w:t>
      </w:r>
      <w:r w:rsidRPr="00CD4BDB">
        <w:rPr>
          <w:rFonts w:ascii="Times New Roman" w:eastAsia="Times New Roman" w:hAnsi="Times New Roman" w:cs="Times New Roman"/>
          <w:b/>
          <w:bCs/>
          <w:kern w:val="0"/>
          <w:sz w:val="24"/>
          <w:szCs w:val="24"/>
          <w:lang w:eastAsia="en-ID"/>
          <w14:ligatures w14:val="none"/>
        </w:rPr>
        <w:t>Scopus</w:t>
      </w:r>
      <w:r w:rsidRPr="00CD4BDB">
        <w:rPr>
          <w:rFonts w:ascii="Times New Roman" w:eastAsia="Times New Roman" w:hAnsi="Times New Roman" w:cs="Times New Roman"/>
          <w:kern w:val="0"/>
          <w:sz w:val="24"/>
          <w:szCs w:val="24"/>
          <w:lang w:eastAsia="en-ID"/>
          <w14:ligatures w14:val="none"/>
        </w:rPr>
        <w:t xml:space="preserve">, </w:t>
      </w:r>
      <w:r w:rsidRPr="00CD4BDB">
        <w:rPr>
          <w:rFonts w:ascii="Times New Roman" w:eastAsia="Times New Roman" w:hAnsi="Times New Roman" w:cs="Times New Roman"/>
          <w:b/>
          <w:bCs/>
          <w:kern w:val="0"/>
          <w:sz w:val="24"/>
          <w:szCs w:val="24"/>
          <w:lang w:eastAsia="en-ID"/>
          <w14:ligatures w14:val="none"/>
        </w:rPr>
        <w:t>PubMed</w:t>
      </w:r>
      <w:r w:rsidRPr="00CD4BDB">
        <w:rPr>
          <w:rFonts w:ascii="Times New Roman" w:eastAsia="Times New Roman" w:hAnsi="Times New Roman" w:cs="Times New Roman"/>
          <w:kern w:val="0"/>
          <w:sz w:val="24"/>
          <w:szCs w:val="24"/>
          <w:lang w:eastAsia="en-ID"/>
          <w14:ligatures w14:val="none"/>
        </w:rPr>
        <w:t xml:space="preserve">, </w:t>
      </w:r>
      <w:r w:rsidRPr="00CD4BDB">
        <w:rPr>
          <w:rFonts w:ascii="Times New Roman" w:eastAsia="Times New Roman" w:hAnsi="Times New Roman" w:cs="Times New Roman"/>
          <w:b/>
          <w:bCs/>
          <w:kern w:val="0"/>
          <w:sz w:val="24"/>
          <w:szCs w:val="24"/>
          <w:lang w:eastAsia="en-ID"/>
          <w14:ligatures w14:val="none"/>
        </w:rPr>
        <w:t>CINAHL</w:t>
      </w:r>
      <w:r w:rsidRPr="00CD4BDB">
        <w:rPr>
          <w:rFonts w:ascii="Times New Roman" w:eastAsia="Times New Roman" w:hAnsi="Times New Roman" w:cs="Times New Roman"/>
          <w:kern w:val="0"/>
          <w:sz w:val="24"/>
          <w:szCs w:val="24"/>
          <w:lang w:eastAsia="en-ID"/>
          <w14:ligatures w14:val="none"/>
        </w:rPr>
        <w:t xml:space="preserve">, and </w:t>
      </w:r>
      <w:r w:rsidRPr="00CD4BDB">
        <w:rPr>
          <w:rFonts w:ascii="Times New Roman" w:eastAsia="Times New Roman" w:hAnsi="Times New Roman" w:cs="Times New Roman"/>
          <w:b/>
          <w:bCs/>
          <w:kern w:val="0"/>
          <w:sz w:val="24"/>
          <w:szCs w:val="24"/>
          <w:lang w:eastAsia="en-ID"/>
          <w14:ligatures w14:val="none"/>
        </w:rPr>
        <w:t>ERIC</w:t>
      </w:r>
      <w:r w:rsidRPr="00CD4BDB">
        <w:rPr>
          <w:rFonts w:ascii="Times New Roman" w:eastAsia="Times New Roman" w:hAnsi="Times New Roman" w:cs="Times New Roman"/>
          <w:kern w:val="0"/>
          <w:sz w:val="24"/>
          <w:szCs w:val="24"/>
          <w:lang w:eastAsia="en-ID"/>
          <w14:ligatures w14:val="none"/>
        </w:rPr>
        <w:t xml:space="preserve"> were utilized to ensure comprehensive coverage across education, health, and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sciences. Boolean operators </w:t>
      </w:r>
      <w:r w:rsidRPr="00CD4BDB">
        <w:rPr>
          <w:rFonts w:ascii="Times New Roman" w:eastAsia="Times New Roman" w:hAnsi="Times New Roman" w:cs="Times New Roman"/>
          <w:b/>
          <w:bCs/>
          <w:kern w:val="0"/>
          <w:sz w:val="24"/>
          <w:szCs w:val="24"/>
          <w:lang w:eastAsia="en-ID"/>
          <w14:ligatures w14:val="none"/>
        </w:rPr>
        <w:t>AND</w:t>
      </w:r>
      <w:r w:rsidRPr="00CD4BDB">
        <w:rPr>
          <w:rFonts w:ascii="Times New Roman" w:eastAsia="Times New Roman" w:hAnsi="Times New Roman" w:cs="Times New Roman"/>
          <w:kern w:val="0"/>
          <w:sz w:val="24"/>
          <w:szCs w:val="24"/>
          <w:lang w:eastAsia="en-ID"/>
          <w14:ligatures w14:val="none"/>
        </w:rPr>
        <w:t xml:space="preserve">, </w:t>
      </w:r>
      <w:r w:rsidRPr="00CD4BDB">
        <w:rPr>
          <w:rFonts w:ascii="Times New Roman" w:eastAsia="Times New Roman" w:hAnsi="Times New Roman" w:cs="Times New Roman"/>
          <w:b/>
          <w:bCs/>
          <w:kern w:val="0"/>
          <w:sz w:val="24"/>
          <w:szCs w:val="24"/>
          <w:lang w:eastAsia="en-ID"/>
          <w14:ligatures w14:val="none"/>
        </w:rPr>
        <w:t>OR</w:t>
      </w:r>
      <w:r w:rsidRPr="00CD4BDB">
        <w:rPr>
          <w:rFonts w:ascii="Times New Roman" w:eastAsia="Times New Roman" w:hAnsi="Times New Roman" w:cs="Times New Roman"/>
          <w:kern w:val="0"/>
          <w:sz w:val="24"/>
          <w:szCs w:val="24"/>
          <w:lang w:eastAsia="en-ID"/>
          <w14:ligatures w14:val="none"/>
        </w:rPr>
        <w:t xml:space="preserve">, and </w:t>
      </w:r>
      <w:r w:rsidRPr="00CD4BDB">
        <w:rPr>
          <w:rFonts w:ascii="Times New Roman" w:eastAsia="Times New Roman" w:hAnsi="Times New Roman" w:cs="Times New Roman"/>
          <w:b/>
          <w:bCs/>
          <w:kern w:val="0"/>
          <w:sz w:val="24"/>
          <w:szCs w:val="24"/>
          <w:lang w:eastAsia="en-ID"/>
          <w14:ligatures w14:val="none"/>
        </w:rPr>
        <w:t>NOT</w:t>
      </w:r>
      <w:r w:rsidRPr="00CD4BDB">
        <w:rPr>
          <w:rFonts w:ascii="Times New Roman" w:eastAsia="Times New Roman" w:hAnsi="Times New Roman" w:cs="Times New Roman"/>
          <w:kern w:val="0"/>
          <w:sz w:val="24"/>
          <w:szCs w:val="24"/>
          <w:lang w:eastAsia="en-ID"/>
          <w14:ligatures w14:val="none"/>
        </w:rPr>
        <w:t xml:space="preserve"> were systematically applied to refine search precision and recall (Beyer &amp; Wright, 2012; Dudley et al., 2015). For instance, the following search string was employed:</w:t>
      </w:r>
    </w:p>
    <w:p w14:paraId="1B6D3D45"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(“school-based nutrition education” OR “nutrition literacy” OR “school meal programs” OR “school feeding”) AND (“dietary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OR “academic performance” OR “student health” OR “learning outcomes”).</w:t>
      </w:r>
    </w:p>
    <w:p w14:paraId="48D44E11" w14:textId="00FC7623"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search strategy was further refined by limiting the publication period from </w:t>
      </w:r>
      <w:r w:rsidRPr="00CD4BDB">
        <w:rPr>
          <w:rFonts w:ascii="Times New Roman" w:eastAsia="Times New Roman" w:hAnsi="Times New Roman" w:cs="Times New Roman"/>
          <w:b/>
          <w:bCs/>
          <w:kern w:val="0"/>
          <w:sz w:val="24"/>
          <w:szCs w:val="24"/>
          <w:lang w:eastAsia="en-ID"/>
          <w14:ligatures w14:val="none"/>
        </w:rPr>
        <w:t>20</w:t>
      </w:r>
      <w:r w:rsidR="000A79F2">
        <w:rPr>
          <w:rFonts w:ascii="Times New Roman" w:eastAsia="Times New Roman" w:hAnsi="Times New Roman" w:cs="Times New Roman"/>
          <w:b/>
          <w:bCs/>
          <w:kern w:val="0"/>
          <w:sz w:val="24"/>
          <w:szCs w:val="24"/>
          <w:lang w:eastAsia="en-ID"/>
          <w14:ligatures w14:val="none"/>
        </w:rPr>
        <w:t>21</w:t>
      </w:r>
      <w:r w:rsidRPr="00CD4BDB">
        <w:rPr>
          <w:rFonts w:ascii="Times New Roman" w:eastAsia="Times New Roman" w:hAnsi="Times New Roman" w:cs="Times New Roman"/>
          <w:b/>
          <w:bCs/>
          <w:kern w:val="0"/>
          <w:sz w:val="24"/>
          <w:szCs w:val="24"/>
          <w:lang w:eastAsia="en-ID"/>
          <w14:ligatures w14:val="none"/>
        </w:rPr>
        <w:t xml:space="preserve"> to 2025</w:t>
      </w:r>
      <w:r w:rsidRPr="00CD4BDB">
        <w:rPr>
          <w:rFonts w:ascii="Times New Roman" w:eastAsia="Times New Roman" w:hAnsi="Times New Roman" w:cs="Times New Roman"/>
          <w:kern w:val="0"/>
          <w:sz w:val="24"/>
          <w:szCs w:val="24"/>
          <w:lang w:eastAsia="en-ID"/>
          <w14:ligatures w14:val="none"/>
        </w:rPr>
        <w:t xml:space="preserve"> and including only peer-reviewed journal articles written in English. Subject terms and controlled vocabularies (e.g., </w:t>
      </w:r>
      <w:proofErr w:type="spellStart"/>
      <w:r w:rsidRPr="00CD4BDB">
        <w:rPr>
          <w:rFonts w:ascii="Times New Roman" w:eastAsia="Times New Roman" w:hAnsi="Times New Roman" w:cs="Times New Roman"/>
          <w:kern w:val="0"/>
          <w:sz w:val="24"/>
          <w:szCs w:val="24"/>
          <w:lang w:eastAsia="en-ID"/>
          <w14:ligatures w14:val="none"/>
        </w:rPr>
        <w:t>MeSH</w:t>
      </w:r>
      <w:proofErr w:type="spellEnd"/>
      <w:r w:rsidRPr="00CD4BDB">
        <w:rPr>
          <w:rFonts w:ascii="Times New Roman" w:eastAsia="Times New Roman" w:hAnsi="Times New Roman" w:cs="Times New Roman"/>
          <w:kern w:val="0"/>
          <w:sz w:val="24"/>
          <w:szCs w:val="24"/>
          <w:lang w:eastAsia="en-ID"/>
          <w14:ligatures w14:val="none"/>
        </w:rPr>
        <w:t xml:space="preserve"> and ERIC descriptors) were incorporated to enhance the relevance of search outputs (Baker et al., 2024). Supplementary searches were conducted in Google Scholar and policy databases to capture grey literature meeting inclusion standards. Reference lists of included studies and relevant reviews were also screened to identify additional eligible publications.</w:t>
      </w:r>
    </w:p>
    <w:p w14:paraId="13C3BF64" w14:textId="03FA4146"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5792114E"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2.2 Eligibility Criteria</w:t>
      </w:r>
    </w:p>
    <w:p w14:paraId="19AEBD19"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Inclusion and exclusion criteria were designed to maximize both rigor and comprehensiveness, consistent with systematic review best practices. Eligible studies met the following inclusion criteria:</w:t>
      </w:r>
    </w:p>
    <w:p w14:paraId="5F9920CD" w14:textId="77777777" w:rsidR="00091BDC" w:rsidRPr="00CD4BDB" w:rsidRDefault="00091BDC" w:rsidP="00CD4BDB">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School-based interventions focusing on </w:t>
      </w:r>
      <w:r w:rsidRPr="00CD4BDB">
        <w:rPr>
          <w:rFonts w:ascii="Times New Roman" w:eastAsia="Times New Roman" w:hAnsi="Times New Roman" w:cs="Times New Roman"/>
          <w:b/>
          <w:bCs/>
          <w:kern w:val="0"/>
          <w:sz w:val="24"/>
          <w:szCs w:val="24"/>
          <w:lang w:eastAsia="en-ID"/>
          <w14:ligatures w14:val="none"/>
        </w:rPr>
        <w:t>nutrition education</w:t>
      </w:r>
      <w:r w:rsidRPr="00CD4BDB">
        <w:rPr>
          <w:rFonts w:ascii="Times New Roman" w:eastAsia="Times New Roman" w:hAnsi="Times New Roman" w:cs="Times New Roman"/>
          <w:kern w:val="0"/>
          <w:sz w:val="24"/>
          <w:szCs w:val="24"/>
          <w:lang w:eastAsia="en-ID"/>
          <w14:ligatures w14:val="none"/>
        </w:rPr>
        <w:t xml:space="preserve">, </w:t>
      </w:r>
      <w:r w:rsidRPr="00CD4BDB">
        <w:rPr>
          <w:rFonts w:ascii="Times New Roman" w:eastAsia="Times New Roman" w:hAnsi="Times New Roman" w:cs="Times New Roman"/>
          <w:b/>
          <w:bCs/>
          <w:kern w:val="0"/>
          <w:sz w:val="24"/>
          <w:szCs w:val="24"/>
          <w:lang w:eastAsia="en-ID"/>
          <w14:ligatures w14:val="none"/>
        </w:rPr>
        <w:t>school meals</w:t>
      </w:r>
      <w:r w:rsidRPr="00CD4BDB">
        <w:rPr>
          <w:rFonts w:ascii="Times New Roman" w:eastAsia="Times New Roman" w:hAnsi="Times New Roman" w:cs="Times New Roman"/>
          <w:kern w:val="0"/>
          <w:sz w:val="24"/>
          <w:szCs w:val="24"/>
          <w:lang w:eastAsia="en-ID"/>
          <w14:ligatures w14:val="none"/>
        </w:rPr>
        <w:t xml:space="preserve">, or </w:t>
      </w:r>
      <w:r w:rsidRPr="00CD4BDB">
        <w:rPr>
          <w:rFonts w:ascii="Times New Roman" w:eastAsia="Times New Roman" w:hAnsi="Times New Roman" w:cs="Times New Roman"/>
          <w:b/>
          <w:bCs/>
          <w:kern w:val="0"/>
          <w:sz w:val="24"/>
          <w:szCs w:val="24"/>
          <w:lang w:eastAsia="en-ID"/>
          <w14:ligatures w14:val="none"/>
        </w:rPr>
        <w:t>integrated programs</w:t>
      </w:r>
      <w:r w:rsidRPr="00CD4BDB">
        <w:rPr>
          <w:rFonts w:ascii="Times New Roman" w:eastAsia="Times New Roman" w:hAnsi="Times New Roman" w:cs="Times New Roman"/>
          <w:kern w:val="0"/>
          <w:sz w:val="24"/>
          <w:szCs w:val="24"/>
          <w:lang w:eastAsia="en-ID"/>
          <w14:ligatures w14:val="none"/>
        </w:rPr>
        <w:t xml:space="preserve"> combining both components.</w:t>
      </w:r>
    </w:p>
    <w:p w14:paraId="108C4592" w14:textId="77777777" w:rsidR="00091BDC" w:rsidRPr="00CD4BDB" w:rsidRDefault="00091BDC" w:rsidP="00CD4BDB">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Quantitative, qualitative, or mixed-methods designs reporting outcomes related to </w:t>
      </w:r>
      <w:r w:rsidRPr="00CD4BDB">
        <w:rPr>
          <w:rFonts w:ascii="Times New Roman" w:eastAsia="Times New Roman" w:hAnsi="Times New Roman" w:cs="Times New Roman"/>
          <w:b/>
          <w:bCs/>
          <w:kern w:val="0"/>
          <w:sz w:val="24"/>
          <w:szCs w:val="24"/>
          <w:lang w:eastAsia="en-ID"/>
          <w14:ligatures w14:val="none"/>
        </w:rPr>
        <w:t xml:space="preserve">dietary </w:t>
      </w:r>
      <w:proofErr w:type="spellStart"/>
      <w:r w:rsidRPr="00CD4BDB">
        <w:rPr>
          <w:rFonts w:ascii="Times New Roman" w:eastAsia="Times New Roman" w:hAnsi="Times New Roman" w:cs="Times New Roman"/>
          <w:b/>
          <w:bCs/>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w:t>
      </w:r>
      <w:r w:rsidRPr="00CD4BDB">
        <w:rPr>
          <w:rFonts w:ascii="Times New Roman" w:eastAsia="Times New Roman" w:hAnsi="Times New Roman" w:cs="Times New Roman"/>
          <w:b/>
          <w:bCs/>
          <w:kern w:val="0"/>
          <w:sz w:val="24"/>
          <w:szCs w:val="24"/>
          <w:lang w:eastAsia="en-ID"/>
          <w14:ligatures w14:val="none"/>
        </w:rPr>
        <w:t>health</w:t>
      </w:r>
      <w:r w:rsidRPr="00CD4BDB">
        <w:rPr>
          <w:rFonts w:ascii="Times New Roman" w:eastAsia="Times New Roman" w:hAnsi="Times New Roman" w:cs="Times New Roman"/>
          <w:kern w:val="0"/>
          <w:sz w:val="24"/>
          <w:szCs w:val="24"/>
          <w:lang w:eastAsia="en-ID"/>
          <w14:ligatures w14:val="none"/>
        </w:rPr>
        <w:t xml:space="preserve">, or </w:t>
      </w:r>
      <w:r w:rsidRPr="00CD4BDB">
        <w:rPr>
          <w:rFonts w:ascii="Times New Roman" w:eastAsia="Times New Roman" w:hAnsi="Times New Roman" w:cs="Times New Roman"/>
          <w:b/>
          <w:bCs/>
          <w:kern w:val="0"/>
          <w:sz w:val="24"/>
          <w:szCs w:val="24"/>
          <w:lang w:eastAsia="en-ID"/>
          <w14:ligatures w14:val="none"/>
        </w:rPr>
        <w:t>academic performance</w:t>
      </w:r>
      <w:r w:rsidRPr="00CD4BDB">
        <w:rPr>
          <w:rFonts w:ascii="Times New Roman" w:eastAsia="Times New Roman" w:hAnsi="Times New Roman" w:cs="Times New Roman"/>
          <w:kern w:val="0"/>
          <w:sz w:val="24"/>
          <w:szCs w:val="24"/>
          <w:lang w:eastAsia="en-ID"/>
          <w14:ligatures w14:val="none"/>
        </w:rPr>
        <w:t>.</w:t>
      </w:r>
    </w:p>
    <w:p w14:paraId="7055B77F" w14:textId="77777777" w:rsidR="00091BDC" w:rsidRPr="00CD4BDB" w:rsidRDefault="00091BDC" w:rsidP="00CD4BDB">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Studies conducted in primary, secondary, or comparable educational settings.</w:t>
      </w:r>
    </w:p>
    <w:p w14:paraId="236D6B97" w14:textId="30FBDC38" w:rsidR="00091BDC" w:rsidRPr="00CD4BDB" w:rsidRDefault="00091BDC" w:rsidP="00CD4BDB">
      <w:pPr>
        <w:numPr>
          <w:ilvl w:val="0"/>
          <w:numId w:val="1"/>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Publications from </w:t>
      </w:r>
      <w:r w:rsidRPr="00CD4BDB">
        <w:rPr>
          <w:rFonts w:ascii="Times New Roman" w:eastAsia="Times New Roman" w:hAnsi="Times New Roman" w:cs="Times New Roman"/>
          <w:b/>
          <w:bCs/>
          <w:kern w:val="0"/>
          <w:sz w:val="24"/>
          <w:szCs w:val="24"/>
          <w:lang w:eastAsia="en-ID"/>
          <w14:ligatures w14:val="none"/>
        </w:rPr>
        <w:t>20</w:t>
      </w:r>
      <w:r w:rsidR="000A79F2">
        <w:rPr>
          <w:rFonts w:ascii="Times New Roman" w:eastAsia="Times New Roman" w:hAnsi="Times New Roman" w:cs="Times New Roman"/>
          <w:b/>
          <w:bCs/>
          <w:kern w:val="0"/>
          <w:sz w:val="24"/>
          <w:szCs w:val="24"/>
          <w:lang w:eastAsia="en-ID"/>
          <w14:ligatures w14:val="none"/>
        </w:rPr>
        <w:t>21</w:t>
      </w:r>
      <w:r w:rsidRPr="00CD4BDB">
        <w:rPr>
          <w:rFonts w:ascii="Times New Roman" w:eastAsia="Times New Roman" w:hAnsi="Times New Roman" w:cs="Times New Roman"/>
          <w:b/>
          <w:bCs/>
          <w:kern w:val="0"/>
          <w:sz w:val="24"/>
          <w:szCs w:val="24"/>
          <w:lang w:eastAsia="en-ID"/>
          <w14:ligatures w14:val="none"/>
        </w:rPr>
        <w:t xml:space="preserve"> to 2025</w:t>
      </w:r>
      <w:r w:rsidRPr="00CD4BDB">
        <w:rPr>
          <w:rFonts w:ascii="Times New Roman" w:eastAsia="Times New Roman" w:hAnsi="Times New Roman" w:cs="Times New Roman"/>
          <w:kern w:val="0"/>
          <w:sz w:val="24"/>
          <w:szCs w:val="24"/>
          <w:lang w:eastAsia="en-ID"/>
          <w14:ligatures w14:val="none"/>
        </w:rPr>
        <w:t xml:space="preserve"> available in English.</w:t>
      </w:r>
    </w:p>
    <w:p w14:paraId="37C53B6D"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Exclusion criteria were applied to maintain internal validity and focus:</w:t>
      </w:r>
    </w:p>
    <w:p w14:paraId="24858796" w14:textId="77777777" w:rsidR="00091BDC" w:rsidRPr="00CD4BDB" w:rsidRDefault="00091BDC" w:rsidP="00CD4BDB">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Studies conducted in non-school settings (e.g., community, workplace, or clinical contexts).</w:t>
      </w:r>
    </w:p>
    <w:p w14:paraId="31AF47CE" w14:textId="77777777" w:rsidR="00091BDC" w:rsidRPr="00CD4BDB" w:rsidRDefault="00091BDC" w:rsidP="00CD4BDB">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Articles lacking empirical data (e.g., opinion pieces, editorials, or commentaries).</w:t>
      </w:r>
    </w:p>
    <w:p w14:paraId="2C627A29" w14:textId="77777777" w:rsidR="00091BDC" w:rsidRPr="00CD4BDB" w:rsidRDefault="00091BDC" w:rsidP="00CD4BDB">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Studies focusing solely on nutrient supplementation without an educational component.</w:t>
      </w:r>
    </w:p>
    <w:p w14:paraId="58F545F1" w14:textId="77777777" w:rsidR="00091BDC" w:rsidRPr="00CD4BDB" w:rsidRDefault="00091BDC" w:rsidP="00CD4BDB">
      <w:pPr>
        <w:numPr>
          <w:ilvl w:val="0"/>
          <w:numId w:val="2"/>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Non-systematic reviews (though used for background and reference mining).</w:t>
      </w:r>
    </w:p>
    <w:p w14:paraId="5489209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lastRenderedPageBreak/>
        <w:t xml:space="preserve">The balance between inclusivity and selectivity was critical for ensuring validity while maintaining sufficient breadth. Narrow inclusion criteria strengthen methodological rigor but may overlook relevant contextual evidence, whereas broader inclusion risks reduced internal consistency (Stillwell et al., 2017; Hong et al., 2018; Franzel et al., 2013). Accordingly, the inclusion framework prioritized interventions with clear educational or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mechanisms and measurable outcomes.</w:t>
      </w:r>
    </w:p>
    <w:p w14:paraId="2BB42C3B" w14:textId="32A6D03B"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3A119213"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2.3 Screening and Selection Process</w:t>
      </w:r>
    </w:p>
    <w:p w14:paraId="4F1DB70C"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selection process followed the </w:t>
      </w:r>
      <w:r w:rsidRPr="00CD4BDB">
        <w:rPr>
          <w:rFonts w:ascii="Times New Roman" w:eastAsia="Times New Roman" w:hAnsi="Times New Roman" w:cs="Times New Roman"/>
          <w:b/>
          <w:bCs/>
          <w:kern w:val="0"/>
          <w:sz w:val="24"/>
          <w:szCs w:val="24"/>
          <w:lang w:eastAsia="en-ID"/>
          <w14:ligatures w14:val="none"/>
        </w:rPr>
        <w:t>PRISMA 2020</w:t>
      </w:r>
      <w:r w:rsidRPr="00CD4BDB">
        <w:rPr>
          <w:rFonts w:ascii="Times New Roman" w:eastAsia="Times New Roman" w:hAnsi="Times New Roman" w:cs="Times New Roman"/>
          <w:kern w:val="0"/>
          <w:sz w:val="24"/>
          <w:szCs w:val="24"/>
          <w:lang w:eastAsia="en-ID"/>
          <w14:ligatures w14:val="none"/>
        </w:rPr>
        <w:t xml:space="preserve"> guidelines to ensure transparency and reproducibility. All retrieved records were imported into a citation management software (e.g., Mendeley, Covidence) for deduplication and screening. A two-stage review process was implemented:</w:t>
      </w:r>
    </w:p>
    <w:p w14:paraId="42042086" w14:textId="77777777" w:rsidR="00091BDC" w:rsidRPr="00CD4BDB" w:rsidRDefault="00091BDC" w:rsidP="00CD4BDB">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Title and abstract screening</w:t>
      </w:r>
      <w:r w:rsidRPr="00CD4BDB">
        <w:rPr>
          <w:rFonts w:ascii="Times New Roman" w:eastAsia="Times New Roman" w:hAnsi="Times New Roman" w:cs="Times New Roman"/>
          <w:kern w:val="0"/>
          <w:sz w:val="24"/>
          <w:szCs w:val="24"/>
          <w:lang w:eastAsia="en-ID"/>
          <w14:ligatures w14:val="none"/>
        </w:rPr>
        <w:t xml:space="preserve"> by two independent reviewers to eliminate clearly irrelevant studies.</w:t>
      </w:r>
    </w:p>
    <w:p w14:paraId="3360945D" w14:textId="77777777" w:rsidR="00091BDC" w:rsidRPr="00CD4BDB" w:rsidRDefault="00091BDC" w:rsidP="00CD4BDB">
      <w:pPr>
        <w:numPr>
          <w:ilvl w:val="0"/>
          <w:numId w:val="3"/>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Full-text review</w:t>
      </w:r>
      <w:r w:rsidRPr="00CD4BDB">
        <w:rPr>
          <w:rFonts w:ascii="Times New Roman" w:eastAsia="Times New Roman" w:hAnsi="Times New Roman" w:cs="Times New Roman"/>
          <w:kern w:val="0"/>
          <w:sz w:val="24"/>
          <w:szCs w:val="24"/>
          <w:lang w:eastAsia="en-ID"/>
          <w14:ligatures w14:val="none"/>
        </w:rPr>
        <w:t xml:space="preserve"> of potentially eligible studies to confirm inclusion criteria compliance.</w:t>
      </w:r>
    </w:p>
    <w:p w14:paraId="1B288BE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Disagreements were resolved through consensus or consultation with a third reviewer. The </w:t>
      </w:r>
      <w:r w:rsidRPr="00CD4BDB">
        <w:rPr>
          <w:rFonts w:ascii="Times New Roman" w:eastAsia="Times New Roman" w:hAnsi="Times New Roman" w:cs="Times New Roman"/>
          <w:b/>
          <w:bCs/>
          <w:kern w:val="0"/>
          <w:sz w:val="24"/>
          <w:szCs w:val="24"/>
          <w:lang w:eastAsia="en-ID"/>
          <w14:ligatures w14:val="none"/>
        </w:rPr>
        <w:t>PRISMA flow diagram</w:t>
      </w:r>
      <w:r w:rsidRPr="00CD4BDB">
        <w:rPr>
          <w:rFonts w:ascii="Times New Roman" w:eastAsia="Times New Roman" w:hAnsi="Times New Roman" w:cs="Times New Roman"/>
          <w:kern w:val="0"/>
          <w:sz w:val="24"/>
          <w:szCs w:val="24"/>
          <w:lang w:eastAsia="en-ID"/>
          <w14:ligatures w14:val="none"/>
        </w:rPr>
        <w:t xml:space="preserve"> was used to document each stage—identification, screening, eligibility, and inclusion—and record the number of studies excluded with justifications. A total of </w:t>
      </w:r>
      <w:r w:rsidRPr="00CD4BDB">
        <w:rPr>
          <w:rFonts w:ascii="Times New Roman" w:eastAsia="Times New Roman" w:hAnsi="Times New Roman" w:cs="Times New Roman"/>
          <w:b/>
          <w:bCs/>
          <w:kern w:val="0"/>
          <w:sz w:val="24"/>
          <w:szCs w:val="24"/>
          <w:lang w:eastAsia="en-ID"/>
          <w14:ligatures w14:val="none"/>
        </w:rPr>
        <w:t>216 records</w:t>
      </w:r>
      <w:r w:rsidRPr="00CD4BDB">
        <w:rPr>
          <w:rFonts w:ascii="Times New Roman" w:eastAsia="Times New Roman" w:hAnsi="Times New Roman" w:cs="Times New Roman"/>
          <w:kern w:val="0"/>
          <w:sz w:val="24"/>
          <w:szCs w:val="24"/>
          <w:lang w:eastAsia="en-ID"/>
          <w14:ligatures w14:val="none"/>
        </w:rPr>
        <w:t xml:space="preserve"> were identified initially; following screening and eligibility assessment, </w:t>
      </w:r>
      <w:r w:rsidRPr="00CD4BDB">
        <w:rPr>
          <w:rFonts w:ascii="Times New Roman" w:eastAsia="Times New Roman" w:hAnsi="Times New Roman" w:cs="Times New Roman"/>
          <w:b/>
          <w:bCs/>
          <w:kern w:val="0"/>
          <w:sz w:val="24"/>
          <w:szCs w:val="24"/>
          <w:lang w:eastAsia="en-ID"/>
          <w14:ligatures w14:val="none"/>
        </w:rPr>
        <w:t>26 studies</w:t>
      </w:r>
      <w:r w:rsidRPr="00CD4BDB">
        <w:rPr>
          <w:rFonts w:ascii="Times New Roman" w:eastAsia="Times New Roman" w:hAnsi="Times New Roman" w:cs="Times New Roman"/>
          <w:kern w:val="0"/>
          <w:sz w:val="24"/>
          <w:szCs w:val="24"/>
          <w:lang w:eastAsia="en-ID"/>
          <w14:ligatures w14:val="none"/>
        </w:rPr>
        <w:t xml:space="preserve"> were included in the final synthesis.</w:t>
      </w:r>
    </w:p>
    <w:p w14:paraId="39C8A832" w14:textId="6C89CB0E" w:rsidR="00C45C70" w:rsidRPr="00CD4BDB" w:rsidRDefault="00C45C70" w:rsidP="00CD4BDB">
      <w:pPr>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br w:type="page"/>
      </w:r>
    </w:p>
    <w:p w14:paraId="7D8BE7C5" w14:textId="21DC3785" w:rsidR="00091BDC" w:rsidRPr="00CD4BDB" w:rsidRDefault="00C45C70" w:rsidP="00CD4BDB">
      <w:pPr>
        <w:spacing w:before="100" w:beforeAutospacing="1" w:after="100" w:afterAutospacing="1" w:line="240" w:lineRule="auto"/>
        <w:ind w:left="720"/>
        <w:jc w:val="both"/>
        <w:rPr>
          <w:rFonts w:ascii="Times New Roman" w:eastAsia="Times New Roman" w:hAnsi="Times New Roman" w:cs="Times New Roman"/>
          <w:kern w:val="0"/>
          <w:sz w:val="24"/>
          <w:szCs w:val="24"/>
          <w:lang w:eastAsia="en-ID"/>
          <w14:ligatures w14:val="none"/>
        </w:rPr>
      </w:pPr>
      <w:r w:rsidRPr="00CD4BDB">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FC9F0F1" wp14:editId="02E6431D">
                <wp:simplePos x="0" y="0"/>
                <wp:positionH relativeFrom="column">
                  <wp:posOffset>892810</wp:posOffset>
                </wp:positionH>
                <wp:positionV relativeFrom="paragraph">
                  <wp:posOffset>364490</wp:posOffset>
                </wp:positionV>
                <wp:extent cx="1887220" cy="1561465"/>
                <wp:effectExtent l="0" t="0" r="17780" b="19685"/>
                <wp:wrapNone/>
                <wp:docPr id="1" name="Rectangle 1"/>
                <wp:cNvGraphicFramePr/>
                <a:graphic xmlns:a="http://schemas.openxmlformats.org/drawingml/2006/main">
                  <a:graphicData uri="http://schemas.microsoft.com/office/word/2010/wordprocessingShape">
                    <wps:wsp>
                      <wps:cNvSpPr/>
                      <wps:spPr>
                        <a:xfrm>
                          <a:off x="0" y="0"/>
                          <a:ext cx="1887220" cy="156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498F2"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Scopus </w:t>
                            </w:r>
                            <w:r w:rsidRPr="00EA3182">
                              <w:rPr>
                                <w:rFonts w:ascii="Arial" w:hAnsi="Arial" w:cs="Arial"/>
                                <w:color w:val="000000" w:themeColor="text1"/>
                                <w:sz w:val="18"/>
                                <w:szCs w:val="20"/>
                              </w:rPr>
                              <w:t xml:space="preserve">(n = </w:t>
                            </w:r>
                            <w:r>
                              <w:rPr>
                                <w:rFonts w:ascii="Arial" w:hAnsi="Arial" w:cs="Arial"/>
                                <w:color w:val="000000" w:themeColor="text1"/>
                                <w:sz w:val="18"/>
                                <w:szCs w:val="20"/>
                              </w:rPr>
                              <w:t>216</w:t>
                            </w:r>
                            <w:r w:rsidRPr="00EA3182">
                              <w:rPr>
                                <w:rFonts w:ascii="Arial" w:hAnsi="Arial" w:cs="Arial"/>
                                <w:color w:val="000000" w:themeColor="text1"/>
                                <w:sz w:val="18"/>
                                <w:szCs w:val="20"/>
                              </w:rPr>
                              <w:t xml:space="preserve">) </w:t>
                            </w:r>
                            <w:r>
                              <w:rPr>
                                <w:rFonts w:ascii="Arial" w:hAnsi="Arial" w:cs="Arial"/>
                                <w:color w:val="000000" w:themeColor="text1"/>
                                <w:sz w:val="18"/>
                                <w:szCs w:val="20"/>
                              </w:rPr>
                              <w:t xml:space="preserve">Using Boolean Search </w:t>
                            </w:r>
                            <w:r w:rsidRPr="00080F71">
                              <w:rPr>
                                <w:rFonts w:ascii="Arial" w:hAnsi="Arial" w:cs="Arial"/>
                                <w:color w:val="000000" w:themeColor="text1"/>
                                <w:sz w:val="18"/>
                                <w:szCs w:val="20"/>
                              </w:rPr>
                              <w:t xml:space="preserve">TITLE-ABS-KEY </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 xml:space="preserve"> "nutrition education" OR "dietary education" OR "health education</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 xml:space="preserve"> AND </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school lunch" OR "school meal" OR "school feeding program</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 xml:space="preserve"> AND </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 xml:space="preserve">program evaluation" OR effectiveness OR impact OR intervention OR </w:t>
                            </w:r>
                            <w:proofErr w:type="gramStart"/>
                            <w:r w:rsidRPr="00080F71">
                              <w:rPr>
                                <w:rFonts w:ascii="Arial" w:hAnsi="Arial" w:cs="Arial"/>
                                <w:color w:val="000000" w:themeColor="text1"/>
                                <w:sz w:val="18"/>
                                <w:szCs w:val="20"/>
                              </w:rPr>
                              <w:t>outcomes )</w:t>
                            </w:r>
                            <w:proofErr w:type="gramEnd"/>
                            <w:r w:rsidRPr="00080F71">
                              <w:rPr>
                                <w:rFonts w:ascii="Arial" w:hAnsi="Arial" w:cs="Arial"/>
                                <w:color w:val="000000" w:themeColor="text1"/>
                                <w:sz w:val="18"/>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9F0F1" id="Rectangle 1" o:spid="_x0000_s1026" style="position:absolute;left:0;text-align:left;margin-left:70.3pt;margin-top:28.7pt;width:148.6pt;height:1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" filled="f" strokecolor="black [3213]" strokeweight="1pt">
                <v:textbox>
                  <w:txbxContent>
                    <w:p w14:paraId="04B498F2"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Scopus </w:t>
                      </w:r>
                      <w:r w:rsidRPr="00EA3182">
                        <w:rPr>
                          <w:rFonts w:ascii="Arial" w:hAnsi="Arial" w:cs="Arial"/>
                          <w:color w:val="000000" w:themeColor="text1"/>
                          <w:sz w:val="18"/>
                          <w:szCs w:val="20"/>
                        </w:rPr>
                        <w:t xml:space="preserve">(n = </w:t>
                      </w:r>
                      <w:r>
                        <w:rPr>
                          <w:rFonts w:ascii="Arial" w:hAnsi="Arial" w:cs="Arial"/>
                          <w:color w:val="000000" w:themeColor="text1"/>
                          <w:sz w:val="18"/>
                          <w:szCs w:val="20"/>
                        </w:rPr>
                        <w:t>216</w:t>
                      </w:r>
                      <w:r w:rsidRPr="00EA3182">
                        <w:rPr>
                          <w:rFonts w:ascii="Arial" w:hAnsi="Arial" w:cs="Arial"/>
                          <w:color w:val="000000" w:themeColor="text1"/>
                          <w:sz w:val="18"/>
                          <w:szCs w:val="20"/>
                        </w:rPr>
                        <w:t xml:space="preserve">) </w:t>
                      </w:r>
                      <w:r>
                        <w:rPr>
                          <w:rFonts w:ascii="Arial" w:hAnsi="Arial" w:cs="Arial"/>
                          <w:color w:val="000000" w:themeColor="text1"/>
                          <w:sz w:val="18"/>
                          <w:szCs w:val="20"/>
                        </w:rPr>
                        <w:t xml:space="preserve">Using Boolean Search </w:t>
                      </w:r>
                      <w:r w:rsidRPr="00080F71">
                        <w:rPr>
                          <w:rFonts w:ascii="Arial" w:hAnsi="Arial" w:cs="Arial"/>
                          <w:color w:val="000000" w:themeColor="text1"/>
                          <w:sz w:val="18"/>
                          <w:szCs w:val="20"/>
                        </w:rPr>
                        <w:t xml:space="preserve">TITLE-ABS-KEY </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 xml:space="preserve"> "nutrition education" OR "dietary education" OR "health education</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 xml:space="preserve"> AND </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school lunch" OR "school meal" OR "school feeding program</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 xml:space="preserve"> AND </w:t>
                      </w:r>
                      <w:proofErr w:type="gramStart"/>
                      <w:r w:rsidRPr="00080F71">
                        <w:rPr>
                          <w:rFonts w:ascii="Arial" w:hAnsi="Arial" w:cs="Arial"/>
                          <w:color w:val="000000" w:themeColor="text1"/>
                          <w:sz w:val="18"/>
                          <w:szCs w:val="20"/>
                        </w:rPr>
                        <w:t>( "</w:t>
                      </w:r>
                      <w:proofErr w:type="gramEnd"/>
                      <w:r w:rsidRPr="00080F71">
                        <w:rPr>
                          <w:rFonts w:ascii="Arial" w:hAnsi="Arial" w:cs="Arial"/>
                          <w:color w:val="000000" w:themeColor="text1"/>
                          <w:sz w:val="18"/>
                          <w:szCs w:val="20"/>
                        </w:rPr>
                        <w:t xml:space="preserve">program evaluation" OR effectiveness OR impact OR intervention OR </w:t>
                      </w:r>
                      <w:proofErr w:type="gramStart"/>
                      <w:r w:rsidRPr="00080F71">
                        <w:rPr>
                          <w:rFonts w:ascii="Arial" w:hAnsi="Arial" w:cs="Arial"/>
                          <w:color w:val="000000" w:themeColor="text1"/>
                          <w:sz w:val="18"/>
                          <w:szCs w:val="20"/>
                        </w:rPr>
                        <w:t>outcomes )</w:t>
                      </w:r>
                      <w:proofErr w:type="gramEnd"/>
                      <w:r w:rsidRPr="00080F71">
                        <w:rPr>
                          <w:rFonts w:ascii="Arial" w:hAnsi="Arial" w:cs="Arial"/>
                          <w:color w:val="000000" w:themeColor="text1"/>
                          <w:sz w:val="18"/>
                          <w:szCs w:val="20"/>
                        </w:rPr>
                        <w:t xml:space="preserve"> )</w:t>
                      </w:r>
                    </w:p>
                  </w:txbxContent>
                </v:textbox>
              </v:rect>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D49EDB2" wp14:editId="7072E5C9">
                <wp:simplePos x="0" y="0"/>
                <wp:positionH relativeFrom="column">
                  <wp:posOffset>3381375</wp:posOffset>
                </wp:positionH>
                <wp:positionV relativeFrom="paragraph">
                  <wp:posOffset>367665</wp:posOffset>
                </wp:positionV>
                <wp:extent cx="1887220" cy="1242695"/>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C2773"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D622EB6" w14:textId="77777777" w:rsidR="00C45C70" w:rsidRDefault="00C45C70" w:rsidP="00C45C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Duplicate records </w:t>
                            </w:r>
                            <w:proofErr w:type="gramStart"/>
                            <w:r>
                              <w:rPr>
                                <w:rFonts w:ascii="Arial" w:hAnsi="Arial" w:cs="Arial"/>
                                <w:color w:val="000000" w:themeColor="text1"/>
                                <w:sz w:val="18"/>
                                <w:szCs w:val="20"/>
                              </w:rPr>
                              <w:t>removed  (</w:t>
                            </w:r>
                            <w:proofErr w:type="gramEnd"/>
                            <w:r>
                              <w:rPr>
                                <w:rFonts w:ascii="Arial" w:hAnsi="Arial" w:cs="Arial"/>
                                <w:color w:val="000000" w:themeColor="text1"/>
                                <w:sz w:val="18"/>
                                <w:szCs w:val="20"/>
                              </w:rPr>
                              <w:t>n = 0)</w:t>
                            </w:r>
                          </w:p>
                          <w:p w14:paraId="2AA6BDFB" w14:textId="77777777" w:rsidR="00C45C70" w:rsidRDefault="00C45C70" w:rsidP="00C45C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Records marked as ineligible by automation tools (n = 0)</w:t>
                            </w:r>
                          </w:p>
                          <w:p w14:paraId="59D3130F" w14:textId="77777777" w:rsidR="00C45C70" w:rsidRPr="00560609" w:rsidRDefault="00C45C70" w:rsidP="00C45C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Records removed for other reasons (n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9EDB2" id="Rectangle 2" o:spid="_x0000_s1027" style="position:absolute;left:0;text-align:left;margin-left:266.25pt;margin-top:28.9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" filled="f" strokecolor="black [3213]" strokeweight="1pt">
                <v:textbox>
                  <w:txbxContent>
                    <w:p w14:paraId="1F5C2773"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2D622EB6" w14:textId="77777777" w:rsidR="00C45C70" w:rsidRDefault="00C45C70" w:rsidP="00C45C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Duplicate records </w:t>
                      </w:r>
                      <w:proofErr w:type="gramStart"/>
                      <w:r>
                        <w:rPr>
                          <w:rFonts w:ascii="Arial" w:hAnsi="Arial" w:cs="Arial"/>
                          <w:color w:val="000000" w:themeColor="text1"/>
                          <w:sz w:val="18"/>
                          <w:szCs w:val="20"/>
                        </w:rPr>
                        <w:t>removed  (</w:t>
                      </w:r>
                      <w:proofErr w:type="gramEnd"/>
                      <w:r>
                        <w:rPr>
                          <w:rFonts w:ascii="Arial" w:hAnsi="Arial" w:cs="Arial"/>
                          <w:color w:val="000000" w:themeColor="text1"/>
                          <w:sz w:val="18"/>
                          <w:szCs w:val="20"/>
                        </w:rPr>
                        <w:t>n = 0)</w:t>
                      </w:r>
                    </w:p>
                    <w:p w14:paraId="2AA6BDFB" w14:textId="77777777" w:rsidR="00C45C70" w:rsidRDefault="00C45C70" w:rsidP="00C45C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Records marked as ineligible by automation tools (n = 0)</w:t>
                      </w:r>
                    </w:p>
                    <w:p w14:paraId="59D3130F" w14:textId="77777777" w:rsidR="00C45C70" w:rsidRPr="00560609" w:rsidRDefault="00C45C70" w:rsidP="00C45C70">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Records removed for other reasons (n = 0)</w:t>
                      </w:r>
                    </w:p>
                  </w:txbxContent>
                </v:textbox>
              </v:rect>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AC31C49" wp14:editId="0BBD18F3">
                <wp:simplePos x="0" y="0"/>
                <wp:positionH relativeFrom="column">
                  <wp:posOffset>885825</wp:posOffset>
                </wp:positionH>
                <wp:positionV relativeFrom="paragraph">
                  <wp:posOffset>2219325</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F0E3A" w14:textId="77777777" w:rsidR="00C45C70" w:rsidRPr="00EA3182"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Records screened</w:t>
                            </w:r>
                          </w:p>
                          <w:p w14:paraId="38219080" w14:textId="77777777" w:rsidR="00C45C70" w:rsidRPr="00560609"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 xml:space="preserve">(n = </w:t>
                            </w:r>
                            <w:r>
                              <w:rPr>
                                <w:rFonts w:ascii="Arial" w:hAnsi="Arial" w:cs="Arial"/>
                                <w:color w:val="000000" w:themeColor="text1"/>
                                <w:sz w:val="18"/>
                                <w:szCs w:val="20"/>
                              </w:rPr>
                              <w:t>216)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31C49" id="Rectangle 3" o:spid="_x0000_s1028" style="position:absolute;left:0;text-align:left;margin-left:69.75pt;margin-top:174.75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ithg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" filled="f" strokecolor="black [3213]" strokeweight="1pt">
                <v:textbox>
                  <w:txbxContent>
                    <w:p w14:paraId="118F0E3A" w14:textId="77777777" w:rsidR="00C45C70" w:rsidRPr="00EA3182"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Records screened</w:t>
                      </w:r>
                    </w:p>
                    <w:p w14:paraId="38219080" w14:textId="77777777" w:rsidR="00C45C70" w:rsidRPr="00560609"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 xml:space="preserve">(n = </w:t>
                      </w:r>
                      <w:r>
                        <w:rPr>
                          <w:rFonts w:ascii="Arial" w:hAnsi="Arial" w:cs="Arial"/>
                          <w:color w:val="000000" w:themeColor="text1"/>
                          <w:sz w:val="18"/>
                          <w:szCs w:val="20"/>
                        </w:rPr>
                        <w:t>216)</w:t>
                      </w:r>
                    </w:p>
                  </w:txbxContent>
                </v:textbox>
              </v:rect>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0D6B3B9" wp14:editId="14CCB15E">
                <wp:simplePos x="0" y="0"/>
                <wp:positionH relativeFrom="column">
                  <wp:posOffset>3374390</wp:posOffset>
                </wp:positionH>
                <wp:positionV relativeFrom="paragraph">
                  <wp:posOffset>2265045</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158A3"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00A252C4" w14:textId="77777777" w:rsidR="00C45C70" w:rsidRPr="00560609" w:rsidRDefault="00C45C70" w:rsidP="00C45C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6B3B9" id="Rectangle 4" o:spid="_x0000_s1029" style="position:absolute;left:0;text-align:left;margin-left:265.7pt;margin-top:178.35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" filled="f" strokecolor="black [3213]" strokeweight="1pt">
                <v:textbox>
                  <w:txbxContent>
                    <w:p w14:paraId="7AB158A3"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00A252C4" w14:textId="77777777" w:rsidR="00C45C70" w:rsidRPr="00560609" w:rsidRDefault="00C45C70" w:rsidP="00C45C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v:rect>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04475FF" wp14:editId="3B5DB3EF">
                <wp:simplePos x="0" y="0"/>
                <wp:positionH relativeFrom="column">
                  <wp:posOffset>887095</wp:posOffset>
                </wp:positionH>
                <wp:positionV relativeFrom="paragraph">
                  <wp:posOffset>3041015</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DCBE4" w14:textId="77777777" w:rsidR="00C45C70" w:rsidRPr="00EA3182"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Reports sought for retrieval</w:t>
                            </w:r>
                          </w:p>
                          <w:p w14:paraId="3993EDDB" w14:textId="77777777" w:rsidR="00C45C70" w:rsidRPr="00560609"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 xml:space="preserve">(n = </w:t>
                            </w:r>
                            <w:r>
                              <w:rPr>
                                <w:rFonts w:ascii="Arial" w:hAnsi="Arial" w:cs="Arial"/>
                                <w:color w:val="000000" w:themeColor="text1"/>
                                <w:sz w:val="18"/>
                                <w:szCs w:val="20"/>
                              </w:rPr>
                              <w:t>216</w:t>
                            </w:r>
                            <w:r w:rsidRPr="00EA3182">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475FF" id="Rectangle 5" o:spid="_x0000_s1030" style="position:absolute;left:0;text-align:left;margin-left:69.85pt;margin-top:239.4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" filled="f" strokecolor="black [3213]" strokeweight="1pt">
                <v:textbox>
                  <w:txbxContent>
                    <w:p w14:paraId="6E4DCBE4" w14:textId="77777777" w:rsidR="00C45C70" w:rsidRPr="00EA3182"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Reports sought for retrieval</w:t>
                      </w:r>
                    </w:p>
                    <w:p w14:paraId="3993EDDB" w14:textId="77777777" w:rsidR="00C45C70" w:rsidRPr="00560609"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 xml:space="preserve">(n = </w:t>
                      </w:r>
                      <w:r>
                        <w:rPr>
                          <w:rFonts w:ascii="Arial" w:hAnsi="Arial" w:cs="Arial"/>
                          <w:color w:val="000000" w:themeColor="text1"/>
                          <w:sz w:val="18"/>
                          <w:szCs w:val="20"/>
                        </w:rPr>
                        <w:t>216</w:t>
                      </w:r>
                      <w:r w:rsidRPr="00EA3182">
                        <w:rPr>
                          <w:rFonts w:ascii="Arial" w:hAnsi="Arial" w:cs="Arial"/>
                          <w:color w:val="000000" w:themeColor="text1"/>
                          <w:sz w:val="18"/>
                          <w:szCs w:val="20"/>
                        </w:rPr>
                        <w:t>)</w:t>
                      </w:r>
                    </w:p>
                  </w:txbxContent>
                </v:textbox>
              </v:rect>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CC52023" wp14:editId="79C9520D">
                <wp:simplePos x="0" y="0"/>
                <wp:positionH relativeFrom="column">
                  <wp:posOffset>3375660</wp:posOffset>
                </wp:positionH>
                <wp:positionV relativeFrom="paragraph">
                  <wp:posOffset>3060065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8AB85"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7C78F9A9" w14:textId="77777777" w:rsidR="00C45C70" w:rsidRPr="00560609" w:rsidRDefault="00C45C70" w:rsidP="00C45C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52023" id="Rectangle 6" o:spid="_x0000_s1031" style="position:absolute;left:0;text-align:left;margin-left:265.8pt;margin-top:240.9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" filled="f" strokecolor="black [3213]" strokeweight="1pt">
                <v:textbox>
                  <w:txbxContent>
                    <w:p w14:paraId="7B18AB85"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7C78F9A9" w14:textId="77777777" w:rsidR="00C45C70" w:rsidRPr="00560609" w:rsidRDefault="00C45C70" w:rsidP="00C45C70">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v:rect>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15FDDAC" wp14:editId="58B02D5E">
                <wp:simplePos x="0" y="0"/>
                <wp:positionH relativeFrom="column">
                  <wp:posOffset>888365</wp:posOffset>
                </wp:positionH>
                <wp:positionV relativeFrom="paragraph">
                  <wp:posOffset>3810000</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EBB69" w14:textId="77777777" w:rsidR="00C45C70" w:rsidRPr="00EA3182"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Reports assessed for eligibility</w:t>
                            </w:r>
                          </w:p>
                          <w:p w14:paraId="78387E16" w14:textId="77777777" w:rsidR="00C45C70" w:rsidRPr="00560609"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 xml:space="preserve">(n = </w:t>
                            </w:r>
                            <w:r>
                              <w:rPr>
                                <w:rFonts w:ascii="Arial" w:hAnsi="Arial" w:cs="Arial"/>
                                <w:color w:val="000000" w:themeColor="text1"/>
                                <w:sz w:val="18"/>
                                <w:szCs w:val="20"/>
                              </w:rPr>
                              <w:t>216</w:t>
                            </w:r>
                            <w:r w:rsidRPr="00EA3182">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FDDAC" id="Rectangle 8" o:spid="_x0000_s1032" style="position:absolute;left:0;text-align:left;margin-left:69.95pt;margin-top:300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3hwIAAHA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" filled="f" strokecolor="black [3213]" strokeweight="1pt">
                <v:textbox>
                  <w:txbxContent>
                    <w:p w14:paraId="480EBB69" w14:textId="77777777" w:rsidR="00C45C70" w:rsidRPr="00EA3182"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Reports assessed for eligibility</w:t>
                      </w:r>
                    </w:p>
                    <w:p w14:paraId="78387E16" w14:textId="77777777" w:rsidR="00C45C70" w:rsidRPr="00560609" w:rsidRDefault="00C45C70" w:rsidP="00C45C70">
                      <w:pPr>
                        <w:spacing w:after="0" w:line="240" w:lineRule="auto"/>
                        <w:rPr>
                          <w:rFonts w:ascii="Arial" w:hAnsi="Arial" w:cs="Arial"/>
                          <w:color w:val="000000" w:themeColor="text1"/>
                          <w:sz w:val="18"/>
                          <w:szCs w:val="20"/>
                        </w:rPr>
                      </w:pPr>
                      <w:r w:rsidRPr="00EA3182">
                        <w:rPr>
                          <w:rFonts w:ascii="Arial" w:hAnsi="Arial" w:cs="Arial"/>
                          <w:color w:val="000000" w:themeColor="text1"/>
                          <w:sz w:val="18"/>
                          <w:szCs w:val="20"/>
                        </w:rPr>
                        <w:t xml:space="preserve">(n = </w:t>
                      </w:r>
                      <w:r>
                        <w:rPr>
                          <w:rFonts w:ascii="Arial" w:hAnsi="Arial" w:cs="Arial"/>
                          <w:color w:val="000000" w:themeColor="text1"/>
                          <w:sz w:val="18"/>
                          <w:szCs w:val="20"/>
                        </w:rPr>
                        <w:t>216</w:t>
                      </w:r>
                      <w:r w:rsidRPr="00EA3182">
                        <w:rPr>
                          <w:rFonts w:ascii="Arial" w:hAnsi="Arial" w:cs="Arial"/>
                          <w:color w:val="000000" w:themeColor="text1"/>
                          <w:sz w:val="18"/>
                          <w:szCs w:val="20"/>
                        </w:rPr>
                        <w:t>)</w:t>
                      </w:r>
                    </w:p>
                  </w:txbxContent>
                </v:textbox>
              </v:rect>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625CF3C" wp14:editId="42BFF1E8">
                <wp:simplePos x="0" y="0"/>
                <wp:positionH relativeFrom="column">
                  <wp:posOffset>3382010</wp:posOffset>
                </wp:positionH>
                <wp:positionV relativeFrom="paragraph">
                  <wp:posOffset>3806190</wp:posOffset>
                </wp:positionV>
                <wp:extent cx="1887220" cy="3055620"/>
                <wp:effectExtent l="0" t="0" r="17780" b="11430"/>
                <wp:wrapNone/>
                <wp:docPr id="9" name="Rectangle 9"/>
                <wp:cNvGraphicFramePr/>
                <a:graphic xmlns:a="http://schemas.openxmlformats.org/drawingml/2006/main">
                  <a:graphicData uri="http://schemas.microsoft.com/office/word/2010/wordprocessingShape">
                    <wps:wsp>
                      <wps:cNvSpPr/>
                      <wps:spPr>
                        <a:xfrm>
                          <a:off x="0" y="0"/>
                          <a:ext cx="1887220" cy="3055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A151E"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7718F4F0" w14:textId="77777777" w:rsidR="00C45C70" w:rsidRDefault="00C45C70" w:rsidP="00C45C70">
                            <w:pPr>
                              <w:spacing w:after="0" w:line="240" w:lineRule="auto"/>
                              <w:rPr>
                                <w:rFonts w:ascii="Arial" w:hAnsi="Arial" w:cs="Arial"/>
                                <w:color w:val="000000" w:themeColor="text1"/>
                                <w:sz w:val="18"/>
                                <w:szCs w:val="20"/>
                              </w:rPr>
                            </w:pPr>
                            <w:r>
                              <w:rPr>
                                <w:rFonts w:ascii="Arial" w:hAnsi="Arial" w:cs="Arial"/>
                                <w:color w:val="000000" w:themeColor="text1"/>
                                <w:sz w:val="18"/>
                                <w:szCs w:val="20"/>
                              </w:rPr>
                              <w:t>Older than 2021 (n=148)</w:t>
                            </w:r>
                          </w:p>
                          <w:p w14:paraId="1379A19D" w14:textId="77777777" w:rsidR="00C45C70" w:rsidRDefault="00C45C70" w:rsidP="00C45C70">
                            <w:pPr>
                              <w:spacing w:after="0" w:line="240" w:lineRule="auto"/>
                              <w:rPr>
                                <w:rFonts w:ascii="Arial" w:hAnsi="Arial" w:cs="Arial"/>
                                <w:color w:val="000000" w:themeColor="text1"/>
                                <w:sz w:val="18"/>
                                <w:szCs w:val="20"/>
                              </w:rPr>
                            </w:pPr>
                          </w:p>
                          <w:p w14:paraId="3C39B26B"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Report Included (Limit to):</w:t>
                            </w:r>
                          </w:p>
                          <w:p w14:paraId="0C7E770F"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Document type: Article (n=59)</w:t>
                            </w:r>
                          </w:p>
                          <w:p w14:paraId="6AAA3929" w14:textId="77777777" w:rsidR="00C45C70" w:rsidRPr="00E1084D" w:rsidRDefault="00C45C70" w:rsidP="00C45C70">
                            <w:pPr>
                              <w:spacing w:after="0" w:line="240" w:lineRule="auto"/>
                              <w:rPr>
                                <w:rFonts w:ascii="Arial" w:hAnsi="Arial" w:cs="Arial"/>
                                <w:color w:val="000000" w:themeColor="text1"/>
                                <w:sz w:val="18"/>
                                <w:szCs w:val="20"/>
                              </w:rPr>
                            </w:pPr>
                          </w:p>
                          <w:p w14:paraId="1F5FDB5F"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Language: English (n=51)</w:t>
                            </w:r>
                          </w:p>
                          <w:p w14:paraId="3B6FA08E" w14:textId="77777777" w:rsidR="00C45C70" w:rsidRPr="00E1084D" w:rsidRDefault="00C45C70" w:rsidP="00C45C70">
                            <w:pPr>
                              <w:spacing w:after="0" w:line="240" w:lineRule="auto"/>
                              <w:rPr>
                                <w:rFonts w:ascii="Arial" w:hAnsi="Arial" w:cs="Arial"/>
                                <w:color w:val="000000" w:themeColor="text1"/>
                                <w:sz w:val="18"/>
                                <w:szCs w:val="20"/>
                              </w:rPr>
                            </w:pPr>
                          </w:p>
                          <w:p w14:paraId="446F47A5" w14:textId="77777777" w:rsidR="00C45C70"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 xml:space="preserve">Reports excluded: Out of Scope after manual </w:t>
                            </w:r>
                            <w:proofErr w:type="gramStart"/>
                            <w:r w:rsidRPr="00E1084D">
                              <w:rPr>
                                <w:rFonts w:ascii="Arial" w:hAnsi="Arial" w:cs="Arial"/>
                                <w:color w:val="000000" w:themeColor="text1"/>
                                <w:sz w:val="18"/>
                                <w:szCs w:val="20"/>
                              </w:rPr>
                              <w:t>screening  (</w:t>
                            </w:r>
                            <w:proofErr w:type="gramEnd"/>
                            <w:r w:rsidRPr="00E1084D">
                              <w:rPr>
                                <w:rFonts w:ascii="Arial" w:hAnsi="Arial" w:cs="Arial"/>
                                <w:color w:val="000000" w:themeColor="text1"/>
                                <w:sz w:val="18"/>
                                <w:szCs w:val="20"/>
                              </w:rPr>
                              <w:t>n = 14)</w:t>
                            </w:r>
                          </w:p>
                          <w:p w14:paraId="7C1C5988" w14:textId="77777777" w:rsidR="00C45C70" w:rsidRDefault="00C45C70" w:rsidP="00C45C70">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5CF3C" id="Rectangle 9" o:spid="_x0000_s1033" style="position:absolute;left:0;text-align:left;margin-left:266.3pt;margin-top:299.7pt;width:148.6pt;height:24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" filled="f" strokecolor="black [3213]" strokeweight="1pt">
                <v:textbox>
                  <w:txbxContent>
                    <w:p w14:paraId="2A4A151E" w14:textId="77777777" w:rsidR="00C45C70" w:rsidRDefault="00C45C70" w:rsidP="00C45C70">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7718F4F0" w14:textId="77777777" w:rsidR="00C45C70" w:rsidRDefault="00C45C70" w:rsidP="00C45C70">
                      <w:pPr>
                        <w:spacing w:after="0" w:line="240" w:lineRule="auto"/>
                        <w:rPr>
                          <w:rFonts w:ascii="Arial" w:hAnsi="Arial" w:cs="Arial"/>
                          <w:color w:val="000000" w:themeColor="text1"/>
                          <w:sz w:val="18"/>
                          <w:szCs w:val="20"/>
                        </w:rPr>
                      </w:pPr>
                      <w:r>
                        <w:rPr>
                          <w:rFonts w:ascii="Arial" w:hAnsi="Arial" w:cs="Arial"/>
                          <w:color w:val="000000" w:themeColor="text1"/>
                          <w:sz w:val="18"/>
                          <w:szCs w:val="20"/>
                        </w:rPr>
                        <w:t>Older than 2021 (n=148)</w:t>
                      </w:r>
                    </w:p>
                    <w:p w14:paraId="1379A19D" w14:textId="77777777" w:rsidR="00C45C70" w:rsidRDefault="00C45C70" w:rsidP="00C45C70">
                      <w:pPr>
                        <w:spacing w:after="0" w:line="240" w:lineRule="auto"/>
                        <w:rPr>
                          <w:rFonts w:ascii="Arial" w:hAnsi="Arial" w:cs="Arial"/>
                          <w:color w:val="000000" w:themeColor="text1"/>
                          <w:sz w:val="18"/>
                          <w:szCs w:val="20"/>
                        </w:rPr>
                      </w:pPr>
                    </w:p>
                    <w:p w14:paraId="3C39B26B"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Report Included (Limit to):</w:t>
                      </w:r>
                    </w:p>
                    <w:p w14:paraId="0C7E770F"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Document type: Article (n=59)</w:t>
                      </w:r>
                    </w:p>
                    <w:p w14:paraId="6AAA3929" w14:textId="77777777" w:rsidR="00C45C70" w:rsidRPr="00E1084D" w:rsidRDefault="00C45C70" w:rsidP="00C45C70">
                      <w:pPr>
                        <w:spacing w:after="0" w:line="240" w:lineRule="auto"/>
                        <w:rPr>
                          <w:rFonts w:ascii="Arial" w:hAnsi="Arial" w:cs="Arial"/>
                          <w:color w:val="000000" w:themeColor="text1"/>
                          <w:sz w:val="18"/>
                          <w:szCs w:val="20"/>
                        </w:rPr>
                      </w:pPr>
                    </w:p>
                    <w:p w14:paraId="1F5FDB5F"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Language: English (n=51)</w:t>
                      </w:r>
                    </w:p>
                    <w:p w14:paraId="3B6FA08E" w14:textId="77777777" w:rsidR="00C45C70" w:rsidRPr="00E1084D" w:rsidRDefault="00C45C70" w:rsidP="00C45C70">
                      <w:pPr>
                        <w:spacing w:after="0" w:line="240" w:lineRule="auto"/>
                        <w:rPr>
                          <w:rFonts w:ascii="Arial" w:hAnsi="Arial" w:cs="Arial"/>
                          <w:color w:val="000000" w:themeColor="text1"/>
                          <w:sz w:val="18"/>
                          <w:szCs w:val="20"/>
                        </w:rPr>
                      </w:pPr>
                    </w:p>
                    <w:p w14:paraId="446F47A5" w14:textId="77777777" w:rsidR="00C45C70"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 xml:space="preserve">Reports excluded: Out of Scope after manual </w:t>
                      </w:r>
                      <w:proofErr w:type="gramStart"/>
                      <w:r w:rsidRPr="00E1084D">
                        <w:rPr>
                          <w:rFonts w:ascii="Arial" w:hAnsi="Arial" w:cs="Arial"/>
                          <w:color w:val="000000" w:themeColor="text1"/>
                          <w:sz w:val="18"/>
                          <w:szCs w:val="20"/>
                        </w:rPr>
                        <w:t>screening  (</w:t>
                      </w:r>
                      <w:proofErr w:type="gramEnd"/>
                      <w:r w:rsidRPr="00E1084D">
                        <w:rPr>
                          <w:rFonts w:ascii="Arial" w:hAnsi="Arial" w:cs="Arial"/>
                          <w:color w:val="000000" w:themeColor="text1"/>
                          <w:sz w:val="18"/>
                          <w:szCs w:val="20"/>
                        </w:rPr>
                        <w:t>n = 14)</w:t>
                      </w:r>
                    </w:p>
                    <w:p w14:paraId="7C1C5988" w14:textId="77777777" w:rsidR="00C45C70" w:rsidRDefault="00C45C70" w:rsidP="00C45C70">
                      <w:pPr>
                        <w:spacing w:after="0" w:line="240" w:lineRule="auto"/>
                        <w:rPr>
                          <w:rFonts w:ascii="Arial" w:hAnsi="Arial" w:cs="Arial"/>
                          <w:color w:val="000000" w:themeColor="text1"/>
                          <w:sz w:val="18"/>
                          <w:szCs w:val="20"/>
                        </w:rPr>
                      </w:pPr>
                    </w:p>
                  </w:txbxContent>
                </v:textbox>
              </v:rect>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ECE7D65" wp14:editId="5BE38707">
                <wp:simplePos x="0" y="0"/>
                <wp:positionH relativeFrom="column">
                  <wp:posOffset>866775</wp:posOffset>
                </wp:positionH>
                <wp:positionV relativeFrom="paragraph">
                  <wp:posOffset>5053965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3B961"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Studies included in review</w:t>
                            </w:r>
                          </w:p>
                          <w:p w14:paraId="320BAB8F"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(n = 26)</w:t>
                            </w:r>
                          </w:p>
                          <w:p w14:paraId="04C16751"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Reports of included studies</w:t>
                            </w:r>
                          </w:p>
                          <w:p w14:paraId="0AA54427" w14:textId="77777777" w:rsidR="00C45C70" w:rsidRPr="00560609"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(n =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7D65" id="Rectangle 13" o:spid="_x0000_s1034" style="position:absolute;left:0;text-align:left;margin-left:68.25pt;margin-top:397.95pt;width:148.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" filled="f" strokecolor="black [3213]" strokeweight="1pt">
                <v:textbox>
                  <w:txbxContent>
                    <w:p w14:paraId="66A3B961"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Studies included in review</w:t>
                      </w:r>
                    </w:p>
                    <w:p w14:paraId="320BAB8F"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(n = 26)</w:t>
                      </w:r>
                    </w:p>
                    <w:p w14:paraId="04C16751" w14:textId="77777777" w:rsidR="00C45C70" w:rsidRPr="00E1084D"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Reports of included studies</w:t>
                      </w:r>
                    </w:p>
                    <w:p w14:paraId="0AA54427" w14:textId="77777777" w:rsidR="00C45C70" w:rsidRPr="00560609" w:rsidRDefault="00C45C70" w:rsidP="00C45C70">
                      <w:pPr>
                        <w:spacing w:after="0" w:line="240" w:lineRule="auto"/>
                        <w:rPr>
                          <w:rFonts w:ascii="Arial" w:hAnsi="Arial" w:cs="Arial"/>
                          <w:color w:val="000000" w:themeColor="text1"/>
                          <w:sz w:val="18"/>
                          <w:szCs w:val="20"/>
                        </w:rPr>
                      </w:pPr>
                      <w:r w:rsidRPr="00E1084D">
                        <w:rPr>
                          <w:rFonts w:ascii="Arial" w:hAnsi="Arial" w:cs="Arial"/>
                          <w:color w:val="000000" w:themeColor="text1"/>
                          <w:sz w:val="18"/>
                          <w:szCs w:val="20"/>
                        </w:rPr>
                        <w:t>(n = 26)</w:t>
                      </w:r>
                    </w:p>
                  </w:txbxContent>
                </v:textbox>
              </v:rect>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19E3E43" wp14:editId="17275B3A">
                <wp:simplePos x="0" y="0"/>
                <wp:positionH relativeFrom="column">
                  <wp:posOffset>2813050</wp:posOffset>
                </wp:positionH>
                <wp:positionV relativeFrom="paragraph">
                  <wp:posOffset>1225550</wp:posOffset>
                </wp:positionV>
                <wp:extent cx="563245"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08CBE8" id="_x0000_t32" coordsize="21600,21600" o:spt="32" o:oned="t" path="m,l21600,21600e" filled="f">
                <v:path arrowok="t" fillok="f" o:connecttype="none"/>
                <o:lock v:ext="edit" shapetype="t"/>
              </v:shapetype>
              <v:shape id="Straight Arrow Connector 14" o:spid="_x0000_s1026" type="#_x0000_t32" style="position:absolute;margin-left:221.5pt;margin-top:96.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" strokecolor="black [3213]" strokeweight=".5pt">
                <v:stroke endarrow="block" joinstyle="miter"/>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E649061" wp14:editId="53A5B541">
                <wp:simplePos x="0" y="0"/>
                <wp:positionH relativeFrom="column">
                  <wp:posOffset>2787650</wp:posOffset>
                </wp:positionH>
                <wp:positionV relativeFrom="paragraph">
                  <wp:posOffset>2594610</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8FF151" id="Straight Arrow Connector 15" o:spid="_x0000_s1026" type="#_x0000_t32" style="position:absolute;margin-left:219.5pt;margin-top:204.3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" strokecolor="black [3213]" strokeweight=".5pt">
                <v:stroke endarrow="block" joinstyle="miter"/>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2DC96B3" wp14:editId="63C9E6BC">
                <wp:simplePos x="0" y="0"/>
                <wp:positionH relativeFrom="column">
                  <wp:posOffset>2789555</wp:posOffset>
                </wp:positionH>
                <wp:positionV relativeFrom="paragraph">
                  <wp:posOffset>3390265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972FF" id="Straight Arrow Connector 16" o:spid="_x0000_s1026" type="#_x0000_t32" style="position:absolute;margin-left:219.65pt;margin-top:266.9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" strokecolor="black [3213]" strokeweight=".5pt">
                <v:stroke endarrow="block" joinstyle="miter"/>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23FF61B" wp14:editId="716FA996">
                <wp:simplePos x="0" y="0"/>
                <wp:positionH relativeFrom="column">
                  <wp:posOffset>2802890</wp:posOffset>
                </wp:positionH>
                <wp:positionV relativeFrom="paragraph">
                  <wp:posOffset>4167505</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72BD5" id="Straight Arrow Connector 17" o:spid="_x0000_s1026" type="#_x0000_t32" style="position:absolute;margin-left:220.7pt;margin-top:328.15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" strokecolor="black [3213]" strokeweight=".5pt">
                <v:stroke endarrow="block" joinstyle="miter"/>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7FD95E9" wp14:editId="33EBA041">
                <wp:simplePos x="0" y="0"/>
                <wp:positionH relativeFrom="column">
                  <wp:posOffset>940435</wp:posOffset>
                </wp:positionH>
                <wp:positionV relativeFrom="paragraph">
                  <wp:posOffset>-57150</wp:posOffset>
                </wp:positionV>
                <wp:extent cx="4344670" cy="262890"/>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13448B7" w14:textId="77777777" w:rsidR="00C45C70" w:rsidRPr="001502CF" w:rsidRDefault="00C45C70" w:rsidP="00C45C7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D95E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5" type="#_x0000_t176" style="position:absolute;left:0;text-align:left;margin-left:74.05pt;margin-top:-4.5pt;width:342.1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" fillcolor="#ffc000 [3207]" strokecolor="#7f5f00 [1607]" strokeweight="1pt">
                <v:textbox>
                  <w:txbxContent>
                    <w:p w14:paraId="013448B7" w14:textId="77777777" w:rsidR="00C45C70" w:rsidRPr="001502CF" w:rsidRDefault="00C45C70" w:rsidP="00C45C7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91FE991" wp14:editId="43E7EFE9">
                <wp:simplePos x="0" y="0"/>
                <wp:positionH relativeFrom="column">
                  <wp:posOffset>-79375</wp:posOffset>
                </wp:positionH>
                <wp:positionV relativeFrom="paragraph">
                  <wp:posOffset>964565</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DD63EF7" w14:textId="77777777" w:rsidR="00C45C70" w:rsidRPr="001502CF" w:rsidRDefault="00C45C70" w:rsidP="00C45C7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E991" id="Flowchart: Alternate Process 31" o:spid="_x0000_s1036" type="#_x0000_t176" style="position:absolute;left:0;text-align:left;margin-left:-6.25pt;margin-top:75.95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" fillcolor="#9cc2e5 [1944]" strokecolor="black [3213]" strokeweight="1pt">
                <v:textbox>
                  <w:txbxContent>
                    <w:p w14:paraId="4DD63EF7" w14:textId="77777777" w:rsidR="00C45C70" w:rsidRPr="001502CF" w:rsidRDefault="00C45C70" w:rsidP="00C45C70">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7A75B0A" wp14:editId="02925C34">
                <wp:simplePos x="0" y="0"/>
                <wp:positionH relativeFrom="column">
                  <wp:posOffset>-835025</wp:posOffset>
                </wp:positionH>
                <wp:positionV relativeFrom="paragraph">
                  <wp:posOffset>3261995</wp:posOffset>
                </wp:positionV>
                <wp:extent cx="278701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01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F3A6333" w14:textId="77777777" w:rsidR="00C45C70" w:rsidRDefault="00C45C70" w:rsidP="00C45C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DFC55D2" w14:textId="77777777" w:rsidR="00C45C70" w:rsidRPr="001502CF" w:rsidRDefault="00C45C70" w:rsidP="00C45C70">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5B0A" id="Flowchart: Alternate Process 32" o:spid="_x0000_s1037" type="#_x0000_t176" style="position:absolute;left:0;text-align:left;margin-left:-65.75pt;margin-top:256.85pt;width:219.4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" fillcolor="#9cc2e5 [1944]" strokecolor="black [3213]" strokeweight="1pt">
                <v:textbox>
                  <w:txbxContent>
                    <w:p w14:paraId="2F3A6333" w14:textId="77777777" w:rsidR="00C45C70" w:rsidRDefault="00C45C70" w:rsidP="00C45C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6DFC55D2" w14:textId="77777777" w:rsidR="00C45C70" w:rsidRPr="001502CF" w:rsidRDefault="00C45C70" w:rsidP="00C45C70">
                      <w:pPr>
                        <w:spacing w:after="0" w:line="240" w:lineRule="auto"/>
                        <w:rPr>
                          <w:rFonts w:ascii="Arial" w:hAnsi="Arial" w:cs="Arial"/>
                          <w:b/>
                          <w:color w:val="000000" w:themeColor="text1"/>
                          <w:sz w:val="18"/>
                          <w:szCs w:val="18"/>
                        </w:rPr>
                      </w:pPr>
                    </w:p>
                  </w:txbxContent>
                </v:textbox>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7DB67B6" wp14:editId="5E2668E1">
                <wp:simplePos x="0" y="0"/>
                <wp:positionH relativeFrom="column">
                  <wp:posOffset>192405</wp:posOffset>
                </wp:positionH>
                <wp:positionV relativeFrom="paragraph">
                  <wp:posOffset>5250815</wp:posOffset>
                </wp:positionV>
                <wp:extent cx="763905"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390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4753F45" w14:textId="77777777" w:rsidR="00C45C70" w:rsidRPr="001502CF" w:rsidRDefault="00C45C70" w:rsidP="00C45C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B67B6" id="Flowchart: Alternate Process 33" o:spid="_x0000_s1038" type="#_x0000_t176" style="position:absolute;left:0;text-align:left;margin-left:15.15pt;margin-top:413.45pt;width:60.15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" fillcolor="#9cc2e5 [1944]" strokecolor="black [3213]" strokeweight="1pt">
                <v:textbox>
                  <w:txbxContent>
                    <w:p w14:paraId="04753F45" w14:textId="77777777" w:rsidR="00C45C70" w:rsidRPr="001502CF" w:rsidRDefault="00C45C70" w:rsidP="00C45C70">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F3D0D30" wp14:editId="05530D00">
                <wp:simplePos x="0" y="0"/>
                <wp:positionH relativeFrom="column">
                  <wp:posOffset>1726565</wp:posOffset>
                </wp:positionH>
                <wp:positionV relativeFrom="paragraph">
                  <wp:posOffset>2771775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7F7974" id="Straight Arrow Connector 35" o:spid="_x0000_s1026" type="#_x0000_t32" style="position:absolute;margin-left:135.95pt;margin-top:218.2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" strokecolor="black [3213]" strokeweight=".5pt">
                <v:stroke endarrow="block" joinstyle="miter"/>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A63C89D" wp14:editId="518B5EE5">
                <wp:simplePos x="0" y="0"/>
                <wp:positionH relativeFrom="column">
                  <wp:posOffset>1736090</wp:posOffset>
                </wp:positionH>
                <wp:positionV relativeFrom="paragraph">
                  <wp:posOffset>3531870</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20BD12" id="Straight Arrow Connector 36" o:spid="_x0000_s1026" type="#_x0000_t32" style="position:absolute;margin-left:136.7pt;margin-top:278.1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" strokecolor="black [3213]" strokeweight=".5pt">
                <v:stroke endarrow="block" joinstyle="miter"/>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CB01C7D" wp14:editId="0BFFCDC3">
                <wp:simplePos x="0" y="0"/>
                <wp:positionH relativeFrom="column">
                  <wp:posOffset>1727200</wp:posOffset>
                </wp:positionH>
                <wp:positionV relativeFrom="paragraph">
                  <wp:posOffset>4307205</wp:posOffset>
                </wp:positionV>
                <wp:extent cx="0" cy="746125"/>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C4283" id="Straight Arrow Connector 19" o:spid="_x0000_s1026" type="#_x0000_t32" style="position:absolute;margin-left:136pt;margin-top:339.15pt;width:0;height:5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" strokecolor="black [3213]" strokeweight=".5pt">
                <v:stroke endarrow="block" joinstyle="miter"/>
              </v:shape>
            </w:pict>
          </mc:Fallback>
        </mc:AlternateContent>
      </w:r>
      <w:r w:rsidRPr="00CD4BDB">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67130F9" wp14:editId="5BC3C1E2">
                <wp:simplePos x="0" y="0"/>
                <wp:positionH relativeFrom="column">
                  <wp:posOffset>1722120</wp:posOffset>
                </wp:positionH>
                <wp:positionV relativeFrom="paragraph">
                  <wp:posOffset>1932940</wp:posOffset>
                </wp:positionV>
                <wp:extent cx="0" cy="281305"/>
                <wp:effectExtent l="76200" t="0" r="57150" b="61595"/>
                <wp:wrapNone/>
                <wp:docPr id="1924923885" name="Straight Arrow Connector 192492388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10CC7" id="Straight Arrow Connector 1924923885" o:spid="_x0000_s1026" type="#_x0000_t32" style="position:absolute;margin-left:135.6pt;margin-top:152.2pt;width:0;height:2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" strokecolor="black [3213]" strokeweight=".5pt">
                <v:stroke endarrow="block" joinstyle="miter"/>
              </v:shape>
            </w:pict>
          </mc:Fallback>
        </mc:AlternateContent>
      </w:r>
      <w:r w:rsidRPr="00CD4BDB">
        <w:rPr>
          <w:rFonts w:ascii="Times New Roman" w:eastAsia="Times New Roman" w:hAnsi="Times New Roman" w:cs="Times New Roman"/>
          <w:kern w:val="0"/>
          <w:sz w:val="24"/>
          <w:szCs w:val="24"/>
          <w:lang w:eastAsia="en-ID"/>
          <w14:ligatures w14:val="none"/>
        </w:rPr>
        <w:br w:type="page"/>
      </w:r>
      <w:r w:rsidRPr="00CD4BDB">
        <w:rPr>
          <w:rFonts w:ascii="Times New Roman" w:eastAsia="Times New Roman" w:hAnsi="Times New Roman" w:cs="Times New Roman"/>
          <w:b/>
          <w:bCs/>
          <w:kern w:val="0"/>
          <w:sz w:val="24"/>
          <w:szCs w:val="24"/>
          <w:lang w:eastAsia="en-ID"/>
          <w14:ligatures w14:val="none"/>
        </w:rPr>
        <w:lastRenderedPageBreak/>
        <w:t>Figure 1. PRISMA flow diagram</w:t>
      </w:r>
      <w:r w:rsidRPr="00CD4BDB">
        <w:rPr>
          <w:rFonts w:ascii="Times New Roman" w:eastAsia="Times New Roman" w:hAnsi="Times New Roman" w:cs="Times New Roman"/>
          <w:kern w:val="0"/>
          <w:sz w:val="24"/>
          <w:szCs w:val="24"/>
          <w:lang w:eastAsia="en-ID"/>
          <w14:ligatures w14:val="none"/>
        </w:rPr>
        <w:t xml:space="preserve"> (detailing screening and selection).</w:t>
      </w:r>
    </w:p>
    <w:p w14:paraId="7B475C03"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2.4 Quality Assessment</w:t>
      </w:r>
    </w:p>
    <w:p w14:paraId="7BA1CB35"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To evaluate methodological robustness, the review employed established tools tailored to study designs:</w:t>
      </w:r>
    </w:p>
    <w:p w14:paraId="08FDB4A8" w14:textId="77777777" w:rsidR="00091BDC" w:rsidRPr="00CD4BDB" w:rsidRDefault="00091BDC" w:rsidP="00CD4BDB">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PRISMA (Preferred Reporting Items for Systematic Reviews and Meta-Analyses)</w:t>
      </w:r>
      <w:r w:rsidRPr="00CD4BDB">
        <w:rPr>
          <w:rFonts w:ascii="Times New Roman" w:eastAsia="Times New Roman" w:hAnsi="Times New Roman" w:cs="Times New Roman"/>
          <w:kern w:val="0"/>
          <w:sz w:val="24"/>
          <w:szCs w:val="24"/>
          <w:lang w:eastAsia="en-ID"/>
          <w14:ligatures w14:val="none"/>
        </w:rPr>
        <w:t xml:space="preserve"> ensured transparency and completeness in reporting (King et al., 2022).</w:t>
      </w:r>
    </w:p>
    <w:p w14:paraId="08084303" w14:textId="77777777" w:rsidR="00091BDC" w:rsidRPr="00CD4BDB" w:rsidRDefault="00091BDC" w:rsidP="00CD4BDB">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MMAT (Mixed Methods Appraisal Tool)</w:t>
      </w:r>
      <w:r w:rsidRPr="00CD4BDB">
        <w:rPr>
          <w:rFonts w:ascii="Times New Roman" w:eastAsia="Times New Roman" w:hAnsi="Times New Roman" w:cs="Times New Roman"/>
          <w:kern w:val="0"/>
          <w:sz w:val="24"/>
          <w:szCs w:val="24"/>
          <w:lang w:eastAsia="en-ID"/>
          <w14:ligatures w14:val="none"/>
        </w:rPr>
        <w:t xml:space="preserve"> was applied to assess the quality of mixed-methods and qualitative studies (Hong et al., 2018; Yoong et al., 2020).</w:t>
      </w:r>
    </w:p>
    <w:p w14:paraId="3FFF837C" w14:textId="77777777" w:rsidR="00091BDC" w:rsidRPr="00CD4BDB" w:rsidRDefault="00091BDC" w:rsidP="00CD4BDB">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 xml:space="preserve">Cochrane </w:t>
      </w:r>
      <w:proofErr w:type="spellStart"/>
      <w:r w:rsidRPr="00CD4BDB">
        <w:rPr>
          <w:rFonts w:ascii="Times New Roman" w:eastAsia="Times New Roman" w:hAnsi="Times New Roman" w:cs="Times New Roman"/>
          <w:b/>
          <w:bCs/>
          <w:kern w:val="0"/>
          <w:sz w:val="24"/>
          <w:szCs w:val="24"/>
          <w:lang w:eastAsia="en-ID"/>
          <w14:ligatures w14:val="none"/>
        </w:rPr>
        <w:t>RoB</w:t>
      </w:r>
      <w:proofErr w:type="spellEnd"/>
      <w:r w:rsidRPr="00CD4BDB">
        <w:rPr>
          <w:rFonts w:ascii="Times New Roman" w:eastAsia="Times New Roman" w:hAnsi="Times New Roman" w:cs="Times New Roman"/>
          <w:b/>
          <w:bCs/>
          <w:kern w:val="0"/>
          <w:sz w:val="24"/>
          <w:szCs w:val="24"/>
          <w:lang w:eastAsia="en-ID"/>
          <w14:ligatures w14:val="none"/>
        </w:rPr>
        <w:t xml:space="preserve"> 2</w:t>
      </w:r>
      <w:r w:rsidRPr="00CD4BDB">
        <w:rPr>
          <w:rFonts w:ascii="Times New Roman" w:eastAsia="Times New Roman" w:hAnsi="Times New Roman" w:cs="Times New Roman"/>
          <w:kern w:val="0"/>
          <w:sz w:val="24"/>
          <w:szCs w:val="24"/>
          <w:lang w:eastAsia="en-ID"/>
          <w14:ligatures w14:val="none"/>
        </w:rPr>
        <w:t xml:space="preserve"> and </w:t>
      </w:r>
      <w:r w:rsidRPr="00CD4BDB">
        <w:rPr>
          <w:rFonts w:ascii="Times New Roman" w:eastAsia="Times New Roman" w:hAnsi="Times New Roman" w:cs="Times New Roman"/>
          <w:b/>
          <w:bCs/>
          <w:kern w:val="0"/>
          <w:sz w:val="24"/>
          <w:szCs w:val="24"/>
          <w:lang w:eastAsia="en-ID"/>
          <w14:ligatures w14:val="none"/>
        </w:rPr>
        <w:t>ROBINS-I</w:t>
      </w:r>
      <w:r w:rsidRPr="00CD4BDB">
        <w:rPr>
          <w:rFonts w:ascii="Times New Roman" w:eastAsia="Times New Roman" w:hAnsi="Times New Roman" w:cs="Times New Roman"/>
          <w:kern w:val="0"/>
          <w:sz w:val="24"/>
          <w:szCs w:val="24"/>
          <w:lang w:eastAsia="en-ID"/>
          <w14:ligatures w14:val="none"/>
        </w:rPr>
        <w:t xml:space="preserve"> were used for randomized and non-randomized quantitative studies, respectively, focusing on bias domains such as selection, performance, and reporting.</w:t>
      </w:r>
    </w:p>
    <w:p w14:paraId="48640B21"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Each included study was rated for methodological quality, clarity of intervention description, and consistency of outcome measures. The integration of these tools allowed for a nuanced understanding of evidence strength across diverse methodological traditions. Findings from the quality assessment informed the synthesis phase, ensuring that interpretations were weighted according to the robustness and reliability of the included studies.</w:t>
      </w:r>
    </w:p>
    <w:p w14:paraId="5074EF8E" w14:textId="77777777" w:rsidR="00091BDC" w:rsidRPr="00CD4BDB" w:rsidRDefault="00091BDC" w:rsidP="00CD4BDB">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D"/>
          <w14:ligatures w14:val="none"/>
        </w:rPr>
      </w:pPr>
      <w:r w:rsidRPr="00CD4BDB">
        <w:rPr>
          <w:rFonts w:ascii="Times New Roman" w:eastAsia="Times New Roman" w:hAnsi="Times New Roman" w:cs="Times New Roman"/>
          <w:b/>
          <w:bCs/>
          <w:kern w:val="36"/>
          <w:sz w:val="24"/>
          <w:szCs w:val="24"/>
          <w:lang w:eastAsia="en-ID"/>
          <w14:ligatures w14:val="none"/>
        </w:rPr>
        <w:t>3. Theoretical Background</w:t>
      </w:r>
    </w:p>
    <w:p w14:paraId="311700CA"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3.1 Relevant Theories and Models</w:t>
      </w:r>
    </w:p>
    <w:p w14:paraId="5A8615EE"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w:t>
      </w:r>
      <w:proofErr w:type="gramStart"/>
      <w:r w:rsidRPr="00CD4BDB">
        <w:rPr>
          <w:rFonts w:ascii="Times New Roman" w:eastAsia="Times New Roman" w:hAnsi="Times New Roman" w:cs="Times New Roman"/>
          <w:kern w:val="0"/>
          <w:sz w:val="24"/>
          <w:szCs w:val="24"/>
          <w:lang w:eastAsia="en-ID"/>
          <w14:ligatures w14:val="none"/>
        </w:rPr>
        <w:t>change</w:t>
      </w:r>
      <w:proofErr w:type="gramEnd"/>
      <w:r w:rsidRPr="00CD4BDB">
        <w:rPr>
          <w:rFonts w:ascii="Times New Roman" w:eastAsia="Times New Roman" w:hAnsi="Times New Roman" w:cs="Times New Roman"/>
          <w:kern w:val="0"/>
          <w:sz w:val="24"/>
          <w:szCs w:val="24"/>
          <w:lang w:eastAsia="en-ID"/>
          <w14:ligatures w14:val="none"/>
        </w:rPr>
        <w:t xml:space="preserve"> theories offer crucial frameworks for understanding how students adopt and sustain healthy dietary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within school environments. Two dominant models underpinning school-based nutrition interventions are the </w:t>
      </w:r>
      <w:r w:rsidRPr="00CD4BDB">
        <w:rPr>
          <w:rFonts w:ascii="Times New Roman" w:eastAsia="Times New Roman" w:hAnsi="Times New Roman" w:cs="Times New Roman"/>
          <w:b/>
          <w:bCs/>
          <w:kern w:val="0"/>
          <w:sz w:val="24"/>
          <w:szCs w:val="24"/>
          <w:lang w:eastAsia="en-ID"/>
          <w14:ligatures w14:val="none"/>
        </w:rPr>
        <w:t>Social Cognitive Theory (SCT)</w:t>
      </w:r>
      <w:r w:rsidRPr="00CD4BDB">
        <w:rPr>
          <w:rFonts w:ascii="Times New Roman" w:eastAsia="Times New Roman" w:hAnsi="Times New Roman" w:cs="Times New Roman"/>
          <w:kern w:val="0"/>
          <w:sz w:val="24"/>
          <w:szCs w:val="24"/>
          <w:lang w:eastAsia="en-ID"/>
          <w14:ligatures w14:val="none"/>
        </w:rPr>
        <w:t xml:space="preserve"> and the </w:t>
      </w:r>
      <w:r w:rsidRPr="00CD4BDB">
        <w:rPr>
          <w:rFonts w:ascii="Times New Roman" w:eastAsia="Times New Roman" w:hAnsi="Times New Roman" w:cs="Times New Roman"/>
          <w:b/>
          <w:bCs/>
          <w:kern w:val="0"/>
          <w:sz w:val="24"/>
          <w:szCs w:val="24"/>
          <w:lang w:eastAsia="en-ID"/>
          <w14:ligatures w14:val="none"/>
        </w:rPr>
        <w:t xml:space="preserve">Theory of Planned </w:t>
      </w:r>
      <w:proofErr w:type="spellStart"/>
      <w:r w:rsidRPr="00CD4BDB">
        <w:rPr>
          <w:rFonts w:ascii="Times New Roman" w:eastAsia="Times New Roman" w:hAnsi="Times New Roman" w:cs="Times New Roman"/>
          <w:b/>
          <w:bCs/>
          <w:kern w:val="0"/>
          <w:sz w:val="24"/>
          <w:szCs w:val="24"/>
          <w:lang w:eastAsia="en-ID"/>
          <w14:ligatures w14:val="none"/>
        </w:rPr>
        <w:t>Behavior</w:t>
      </w:r>
      <w:proofErr w:type="spellEnd"/>
      <w:r w:rsidRPr="00CD4BDB">
        <w:rPr>
          <w:rFonts w:ascii="Times New Roman" w:eastAsia="Times New Roman" w:hAnsi="Times New Roman" w:cs="Times New Roman"/>
          <w:b/>
          <w:bCs/>
          <w:kern w:val="0"/>
          <w:sz w:val="24"/>
          <w:szCs w:val="24"/>
          <w:lang w:eastAsia="en-ID"/>
          <w14:ligatures w14:val="none"/>
        </w:rPr>
        <w:t xml:space="preserve"> (TPB)</w:t>
      </w:r>
      <w:r w:rsidRPr="00CD4BDB">
        <w:rPr>
          <w:rFonts w:ascii="Times New Roman" w:eastAsia="Times New Roman" w:hAnsi="Times New Roman" w:cs="Times New Roman"/>
          <w:kern w:val="0"/>
          <w:sz w:val="24"/>
          <w:szCs w:val="24"/>
          <w:lang w:eastAsia="en-ID"/>
          <w14:ligatures w14:val="none"/>
        </w:rPr>
        <w:t xml:space="preserve">. The SCT emphasizes the reciprocal interaction between personal,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and environmental influences in shaping dietary habits. It posits that individuals learn through observation, imitation, and reinforcement, suggesting that students model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observed in peers, teachers, or cafeteria contexts (Sell et al., 2016). Within school settings, SCT-based interventions have demonstrated how role </w:t>
      </w:r>
      <w:proofErr w:type="spellStart"/>
      <w:r w:rsidRPr="00CD4BDB">
        <w:rPr>
          <w:rFonts w:ascii="Times New Roman" w:eastAsia="Times New Roman" w:hAnsi="Times New Roman" w:cs="Times New Roman"/>
          <w:kern w:val="0"/>
          <w:sz w:val="24"/>
          <w:szCs w:val="24"/>
          <w:lang w:eastAsia="en-ID"/>
          <w14:ligatures w14:val="none"/>
        </w:rPr>
        <w:t>modeling</w:t>
      </w:r>
      <w:proofErr w:type="spellEnd"/>
      <w:r w:rsidRPr="00CD4BDB">
        <w:rPr>
          <w:rFonts w:ascii="Times New Roman" w:eastAsia="Times New Roman" w:hAnsi="Times New Roman" w:cs="Times New Roman"/>
          <w:kern w:val="0"/>
          <w:sz w:val="24"/>
          <w:szCs w:val="24"/>
          <w:lang w:eastAsia="en-ID"/>
          <w14:ligatures w14:val="none"/>
        </w:rPr>
        <w:t>, positive reinforcement, and supportive food environments can strengthen children’s self-efficacy and motivation toward healthy eating.</w:t>
      </w:r>
    </w:p>
    <w:p w14:paraId="65042F6A"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w:t>
      </w:r>
      <w:r w:rsidRPr="00CD4BDB">
        <w:rPr>
          <w:rFonts w:ascii="Times New Roman" w:eastAsia="Times New Roman" w:hAnsi="Times New Roman" w:cs="Times New Roman"/>
          <w:b/>
          <w:bCs/>
          <w:kern w:val="0"/>
          <w:sz w:val="24"/>
          <w:szCs w:val="24"/>
          <w:lang w:eastAsia="en-ID"/>
          <w14:ligatures w14:val="none"/>
        </w:rPr>
        <w:t xml:space="preserve">Theory of Planned </w:t>
      </w:r>
      <w:proofErr w:type="spellStart"/>
      <w:r w:rsidRPr="00CD4BDB">
        <w:rPr>
          <w:rFonts w:ascii="Times New Roman" w:eastAsia="Times New Roman" w:hAnsi="Times New Roman" w:cs="Times New Roman"/>
          <w:b/>
          <w:bCs/>
          <w:kern w:val="0"/>
          <w:sz w:val="24"/>
          <w:szCs w:val="24"/>
          <w:lang w:eastAsia="en-ID"/>
          <w14:ligatures w14:val="none"/>
        </w:rPr>
        <w:t>Behavior</w:t>
      </w:r>
      <w:proofErr w:type="spellEnd"/>
      <w:r w:rsidRPr="00CD4BDB">
        <w:rPr>
          <w:rFonts w:ascii="Times New Roman" w:eastAsia="Times New Roman" w:hAnsi="Times New Roman" w:cs="Times New Roman"/>
          <w:b/>
          <w:bCs/>
          <w:kern w:val="0"/>
          <w:sz w:val="24"/>
          <w:szCs w:val="24"/>
          <w:lang w:eastAsia="en-ID"/>
          <w14:ligatures w14:val="none"/>
        </w:rPr>
        <w:t xml:space="preserve"> (TPB)</w:t>
      </w:r>
      <w:r w:rsidRPr="00CD4BDB">
        <w:rPr>
          <w:rFonts w:ascii="Times New Roman" w:eastAsia="Times New Roman" w:hAnsi="Times New Roman" w:cs="Times New Roman"/>
          <w:kern w:val="0"/>
          <w:sz w:val="24"/>
          <w:szCs w:val="24"/>
          <w:lang w:eastAsia="en-ID"/>
          <w14:ligatures w14:val="none"/>
        </w:rPr>
        <w:t xml:space="preserve">, on the other hand, asserts that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intentions are determined by attitudes, subjective norms, and perceived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control. In school nutrition contexts, TPB has been instrumental in explaining how beliefs about health benefits, peer expectations, and perceived ability to access healthy foods influence students’ dietary intentions (Roberts et al., 2020). Studies employing TPB frameworks among school nutrition staff and students highlight the importance of fostering positive attitudes and perceived control to improve food safety and consumption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Together, SCT and TPB form a theoretical foundation for designing interventions that target both cognitive and environmental determinants of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enabling a deeper understanding of how school-based nutrition programs can achieve sustainable outcomes.</w:t>
      </w:r>
    </w:p>
    <w:p w14:paraId="6C9BDB2F" w14:textId="436F52A4"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32348692"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3.2 Nutrition Literacy, Experiential Learning, and Long-Term Outcomes</w:t>
      </w:r>
    </w:p>
    <w:p w14:paraId="241B697B"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lastRenderedPageBreak/>
        <w:t xml:space="preserve">Connecting </w:t>
      </w:r>
      <w:r w:rsidRPr="00CD4BDB">
        <w:rPr>
          <w:rFonts w:ascii="Times New Roman" w:eastAsia="Times New Roman" w:hAnsi="Times New Roman" w:cs="Times New Roman"/>
          <w:b/>
          <w:bCs/>
          <w:kern w:val="0"/>
          <w:sz w:val="24"/>
          <w:szCs w:val="24"/>
          <w:lang w:eastAsia="en-ID"/>
          <w14:ligatures w14:val="none"/>
        </w:rPr>
        <w:t>nutrition literacy</w:t>
      </w:r>
      <w:r w:rsidRPr="00CD4BDB">
        <w:rPr>
          <w:rFonts w:ascii="Times New Roman" w:eastAsia="Times New Roman" w:hAnsi="Times New Roman" w:cs="Times New Roman"/>
          <w:kern w:val="0"/>
          <w:sz w:val="24"/>
          <w:szCs w:val="24"/>
          <w:lang w:eastAsia="en-ID"/>
          <w14:ligatures w14:val="none"/>
        </w:rPr>
        <w:t xml:space="preserve">, </w:t>
      </w:r>
      <w:r w:rsidRPr="00CD4BDB">
        <w:rPr>
          <w:rFonts w:ascii="Times New Roman" w:eastAsia="Times New Roman" w:hAnsi="Times New Roman" w:cs="Times New Roman"/>
          <w:b/>
          <w:bCs/>
          <w:kern w:val="0"/>
          <w:sz w:val="24"/>
          <w:szCs w:val="24"/>
          <w:lang w:eastAsia="en-ID"/>
          <w14:ligatures w14:val="none"/>
        </w:rPr>
        <w:t>experiential learning</w:t>
      </w:r>
      <w:r w:rsidRPr="00CD4BDB">
        <w:rPr>
          <w:rFonts w:ascii="Times New Roman" w:eastAsia="Times New Roman" w:hAnsi="Times New Roman" w:cs="Times New Roman"/>
          <w:kern w:val="0"/>
          <w:sz w:val="24"/>
          <w:szCs w:val="24"/>
          <w:lang w:eastAsia="en-ID"/>
          <w14:ligatures w14:val="none"/>
        </w:rPr>
        <w:t xml:space="preserve">, and </w:t>
      </w:r>
      <w:r w:rsidRPr="00CD4BDB">
        <w:rPr>
          <w:rFonts w:ascii="Times New Roman" w:eastAsia="Times New Roman" w:hAnsi="Times New Roman" w:cs="Times New Roman"/>
          <w:b/>
          <w:bCs/>
          <w:kern w:val="0"/>
          <w:sz w:val="24"/>
          <w:szCs w:val="24"/>
          <w:lang w:eastAsia="en-ID"/>
          <w14:ligatures w14:val="none"/>
        </w:rPr>
        <w:t>long-term educational or health outcomes</w:t>
      </w:r>
      <w:r w:rsidRPr="00CD4BDB">
        <w:rPr>
          <w:rFonts w:ascii="Times New Roman" w:eastAsia="Times New Roman" w:hAnsi="Times New Roman" w:cs="Times New Roman"/>
          <w:kern w:val="0"/>
          <w:sz w:val="24"/>
          <w:szCs w:val="24"/>
          <w:lang w:eastAsia="en-ID"/>
          <w14:ligatures w14:val="none"/>
        </w:rPr>
        <w:t xml:space="preserve"> provides a comprehensive framework for interpreting how knowledge translates into sustained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change. </w:t>
      </w:r>
      <w:r w:rsidRPr="00CD4BDB">
        <w:rPr>
          <w:rFonts w:ascii="Times New Roman" w:eastAsia="Times New Roman" w:hAnsi="Times New Roman" w:cs="Times New Roman"/>
          <w:b/>
          <w:bCs/>
          <w:kern w:val="0"/>
          <w:sz w:val="24"/>
          <w:szCs w:val="24"/>
          <w:lang w:eastAsia="en-ID"/>
          <w14:ligatures w14:val="none"/>
        </w:rPr>
        <w:t>Nutrition literacy</w:t>
      </w:r>
      <w:r w:rsidRPr="00CD4BDB">
        <w:rPr>
          <w:rFonts w:ascii="Times New Roman" w:eastAsia="Times New Roman" w:hAnsi="Times New Roman" w:cs="Times New Roman"/>
          <w:kern w:val="0"/>
          <w:sz w:val="24"/>
          <w:szCs w:val="24"/>
          <w:lang w:eastAsia="en-ID"/>
          <w14:ligatures w14:val="none"/>
        </w:rPr>
        <w:t xml:space="preserve"> encompasses the cognitive and functional skills that enable individuals to access, understand, and apply information about healthy eating (Krause et al., 2016). Within school-based programs, literacy development ensures that students are equipped to make informed choices both inside and outside the classroom.</w:t>
      </w:r>
    </w:p>
    <w:p w14:paraId="4AAA5060"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Experiential learning</w:t>
      </w:r>
      <w:r w:rsidRPr="00CD4BDB">
        <w:rPr>
          <w:rFonts w:ascii="Times New Roman" w:eastAsia="Times New Roman" w:hAnsi="Times New Roman" w:cs="Times New Roman"/>
          <w:kern w:val="0"/>
          <w:sz w:val="24"/>
          <w:szCs w:val="24"/>
          <w:lang w:eastAsia="en-ID"/>
          <w14:ligatures w14:val="none"/>
        </w:rPr>
        <w:t>, as conceptualized in constructivist education models, reinforces knowledge through hands-on activities such as cooking, gardening, and taste-testing. These participatory approaches bridge theory and practice by allowing students to apply learned concepts in real contexts. Evidence demonstrates that experiential learning promotes not only healthier eating habits but also cognitive and psychosocial growth, including teamwork, problem-solving, and critical thinking (Chilón-Troncos et al., 2024). Integrating nutrition literacy and experiential learning thus positions schools as living laboratories for cultivating life skills that extend beyond nutrition, contributing to academic success and human capital development.</w:t>
      </w:r>
    </w:p>
    <w:p w14:paraId="02DA51AA" w14:textId="20C2376B"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0C7B919F"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3.3 Historical Development of School Nutrition Education</w:t>
      </w:r>
    </w:p>
    <w:p w14:paraId="7B8E305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Globally, school feeding and nutrition education programs have evolved from </w:t>
      </w:r>
      <w:r w:rsidRPr="00CD4BDB">
        <w:rPr>
          <w:rFonts w:ascii="Times New Roman" w:eastAsia="Times New Roman" w:hAnsi="Times New Roman" w:cs="Times New Roman"/>
          <w:b/>
          <w:bCs/>
          <w:kern w:val="0"/>
          <w:sz w:val="24"/>
          <w:szCs w:val="24"/>
          <w:lang w:eastAsia="en-ID"/>
          <w14:ligatures w14:val="none"/>
        </w:rPr>
        <w:t>basic supplementation schemes</w:t>
      </w:r>
      <w:r w:rsidRPr="00CD4BDB">
        <w:rPr>
          <w:rFonts w:ascii="Times New Roman" w:eastAsia="Times New Roman" w:hAnsi="Times New Roman" w:cs="Times New Roman"/>
          <w:kern w:val="0"/>
          <w:sz w:val="24"/>
          <w:szCs w:val="24"/>
          <w:lang w:eastAsia="en-ID"/>
          <w14:ligatures w14:val="none"/>
        </w:rPr>
        <w:t xml:space="preserve"> to </w:t>
      </w:r>
      <w:r w:rsidRPr="00CD4BDB">
        <w:rPr>
          <w:rFonts w:ascii="Times New Roman" w:eastAsia="Times New Roman" w:hAnsi="Times New Roman" w:cs="Times New Roman"/>
          <w:b/>
          <w:bCs/>
          <w:kern w:val="0"/>
          <w:sz w:val="24"/>
          <w:szCs w:val="24"/>
          <w:lang w:eastAsia="en-ID"/>
          <w14:ligatures w14:val="none"/>
        </w:rPr>
        <w:t>integrated, multidimensional systems</w:t>
      </w:r>
      <w:r w:rsidRPr="00CD4BDB">
        <w:rPr>
          <w:rFonts w:ascii="Times New Roman" w:eastAsia="Times New Roman" w:hAnsi="Times New Roman" w:cs="Times New Roman"/>
          <w:kern w:val="0"/>
          <w:sz w:val="24"/>
          <w:szCs w:val="24"/>
          <w:lang w:eastAsia="en-ID"/>
          <w14:ligatures w14:val="none"/>
        </w:rPr>
        <w:t xml:space="preserve"> addressing health, learning, and equity. Historically, early feeding programs aimed primarily to improve caloric intake and attendance among undernourished populations. Over the past two decades, the focus has shifted toward incorporating nutrition education and participatory learning into meal programs to address broader developmental goals (Wineman et al., 2022; Rector et al., 2021; Al-</w:t>
      </w:r>
      <w:proofErr w:type="spellStart"/>
      <w:r w:rsidRPr="00CD4BDB">
        <w:rPr>
          <w:rFonts w:ascii="Times New Roman" w:eastAsia="Times New Roman" w:hAnsi="Times New Roman" w:cs="Times New Roman"/>
          <w:kern w:val="0"/>
          <w:sz w:val="24"/>
          <w:szCs w:val="24"/>
          <w:lang w:eastAsia="en-ID"/>
          <w14:ligatures w14:val="none"/>
        </w:rPr>
        <w:t>Jawaldeh</w:t>
      </w:r>
      <w:proofErr w:type="spellEnd"/>
      <w:r w:rsidRPr="00CD4BDB">
        <w:rPr>
          <w:rFonts w:ascii="Times New Roman" w:eastAsia="Times New Roman" w:hAnsi="Times New Roman" w:cs="Times New Roman"/>
          <w:kern w:val="0"/>
          <w:sz w:val="24"/>
          <w:szCs w:val="24"/>
          <w:lang w:eastAsia="en-ID"/>
          <w14:ligatures w14:val="none"/>
        </w:rPr>
        <w:t xml:space="preserve"> et al., 2023).</w:t>
      </w:r>
    </w:p>
    <w:p w14:paraId="18E1778E"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This shift reflects a growing recognition that providing food alone is insufficient to influence sustained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change or educational outcomes. Instead, modern programs incorporate active engagement, linking </w:t>
      </w:r>
      <w:r w:rsidRPr="00CD4BDB">
        <w:rPr>
          <w:rFonts w:ascii="Times New Roman" w:eastAsia="Times New Roman" w:hAnsi="Times New Roman" w:cs="Times New Roman"/>
          <w:b/>
          <w:bCs/>
          <w:kern w:val="0"/>
          <w:sz w:val="24"/>
          <w:szCs w:val="24"/>
          <w:lang w:eastAsia="en-ID"/>
          <w14:ligatures w14:val="none"/>
        </w:rPr>
        <w:t>education with meal experiences</w:t>
      </w:r>
      <w:r w:rsidRPr="00CD4BDB">
        <w:rPr>
          <w:rFonts w:ascii="Times New Roman" w:eastAsia="Times New Roman" w:hAnsi="Times New Roman" w:cs="Times New Roman"/>
          <w:kern w:val="0"/>
          <w:sz w:val="24"/>
          <w:szCs w:val="24"/>
          <w:lang w:eastAsia="en-ID"/>
          <w14:ligatures w14:val="none"/>
        </w:rPr>
        <w:t xml:space="preserve">, such as garden-based curricula and culinary workshops, to cultivate lifelong healthy eating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(Lakshman et al., 2010). Integrated models, such as those supported by the </w:t>
      </w:r>
      <w:r w:rsidRPr="00CD4BDB">
        <w:rPr>
          <w:rFonts w:ascii="Times New Roman" w:eastAsia="Times New Roman" w:hAnsi="Times New Roman" w:cs="Times New Roman"/>
          <w:b/>
          <w:bCs/>
          <w:kern w:val="0"/>
          <w:sz w:val="24"/>
          <w:szCs w:val="24"/>
          <w:lang w:eastAsia="en-ID"/>
          <w14:ligatures w14:val="none"/>
        </w:rPr>
        <w:t>Food and Agriculture Organization (FAO)</w:t>
      </w:r>
      <w:r w:rsidRPr="00CD4BDB">
        <w:rPr>
          <w:rFonts w:ascii="Times New Roman" w:eastAsia="Times New Roman" w:hAnsi="Times New Roman" w:cs="Times New Roman"/>
          <w:kern w:val="0"/>
          <w:sz w:val="24"/>
          <w:szCs w:val="24"/>
          <w:lang w:eastAsia="en-ID"/>
          <w14:ligatures w14:val="none"/>
        </w:rPr>
        <w:t>, align with global priorities for sustainable development, emphasizing nutrition-sensitive education systems that contribute to both health and learning outcomes.</w:t>
      </w:r>
    </w:p>
    <w:p w14:paraId="1CB433D1" w14:textId="20376C29"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4834995D"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3.4 Policy Milestones and Global Frameworks</w:t>
      </w:r>
    </w:p>
    <w:p w14:paraId="24EC66B8"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Since 2010, several international policy frameworks have shaped the advancement of nutrition education within schools. The </w:t>
      </w:r>
      <w:r w:rsidRPr="00CD4BDB">
        <w:rPr>
          <w:rFonts w:ascii="Times New Roman" w:eastAsia="Times New Roman" w:hAnsi="Times New Roman" w:cs="Times New Roman"/>
          <w:b/>
          <w:bCs/>
          <w:kern w:val="0"/>
          <w:sz w:val="24"/>
          <w:szCs w:val="24"/>
          <w:lang w:eastAsia="en-ID"/>
          <w14:ligatures w14:val="none"/>
        </w:rPr>
        <w:t>FAO’s School Food and Nutrition Framework</w:t>
      </w:r>
      <w:r w:rsidRPr="00CD4BDB">
        <w:rPr>
          <w:rFonts w:ascii="Times New Roman" w:eastAsia="Times New Roman" w:hAnsi="Times New Roman" w:cs="Times New Roman"/>
          <w:kern w:val="0"/>
          <w:sz w:val="24"/>
          <w:szCs w:val="24"/>
          <w:lang w:eastAsia="en-ID"/>
          <w14:ligatures w14:val="none"/>
        </w:rPr>
        <w:t xml:space="preserve"> and the </w:t>
      </w:r>
      <w:r w:rsidRPr="00CD4BDB">
        <w:rPr>
          <w:rFonts w:ascii="Times New Roman" w:eastAsia="Times New Roman" w:hAnsi="Times New Roman" w:cs="Times New Roman"/>
          <w:b/>
          <w:bCs/>
          <w:kern w:val="0"/>
          <w:sz w:val="24"/>
          <w:szCs w:val="24"/>
          <w:lang w:eastAsia="en-ID"/>
          <w14:ligatures w14:val="none"/>
        </w:rPr>
        <w:t>World Health Organization’s Global Strategy on Diet, Physical Activity, and Health</w:t>
      </w:r>
      <w:r w:rsidRPr="00CD4BDB">
        <w:rPr>
          <w:rFonts w:ascii="Times New Roman" w:eastAsia="Times New Roman" w:hAnsi="Times New Roman" w:cs="Times New Roman"/>
          <w:kern w:val="0"/>
          <w:sz w:val="24"/>
          <w:szCs w:val="24"/>
          <w:lang w:eastAsia="en-ID"/>
          <w14:ligatures w14:val="none"/>
        </w:rPr>
        <w:t xml:space="preserve"> have strengthened national school meal standards and curriculum-based food education (Samnani et al., 2024). In parallel, initiatives such as the </w:t>
      </w:r>
      <w:r w:rsidRPr="00CD4BDB">
        <w:rPr>
          <w:rFonts w:ascii="Times New Roman" w:eastAsia="Times New Roman" w:hAnsi="Times New Roman" w:cs="Times New Roman"/>
          <w:b/>
          <w:bCs/>
          <w:kern w:val="0"/>
          <w:sz w:val="24"/>
          <w:szCs w:val="24"/>
          <w:lang w:eastAsia="en-ID"/>
          <w14:ligatures w14:val="none"/>
        </w:rPr>
        <w:t>Global School Feeding Coalition</w:t>
      </w:r>
      <w:r w:rsidRPr="00CD4BDB">
        <w:rPr>
          <w:rFonts w:ascii="Times New Roman" w:eastAsia="Times New Roman" w:hAnsi="Times New Roman" w:cs="Times New Roman"/>
          <w:kern w:val="0"/>
          <w:sz w:val="24"/>
          <w:szCs w:val="24"/>
          <w:lang w:eastAsia="en-ID"/>
          <w14:ligatures w14:val="none"/>
        </w:rPr>
        <w:t xml:space="preserve"> and the </w:t>
      </w:r>
      <w:r w:rsidRPr="00CD4BDB">
        <w:rPr>
          <w:rFonts w:ascii="Times New Roman" w:eastAsia="Times New Roman" w:hAnsi="Times New Roman" w:cs="Times New Roman"/>
          <w:b/>
          <w:bCs/>
          <w:kern w:val="0"/>
          <w:sz w:val="24"/>
          <w:szCs w:val="24"/>
          <w:lang w:eastAsia="en-ID"/>
          <w14:ligatures w14:val="none"/>
        </w:rPr>
        <w:t>Sustainable Development Goals (SDGs)</w:t>
      </w:r>
      <w:r w:rsidRPr="00CD4BDB">
        <w:rPr>
          <w:rFonts w:ascii="Times New Roman" w:eastAsia="Times New Roman" w:hAnsi="Times New Roman" w:cs="Times New Roman"/>
          <w:kern w:val="0"/>
          <w:sz w:val="24"/>
          <w:szCs w:val="24"/>
          <w:lang w:eastAsia="en-ID"/>
          <w14:ligatures w14:val="none"/>
        </w:rPr>
        <w:t xml:space="preserve"> have reinforced nutrition as a pillar of educational equity and lifelong wellbeing (Hanninen &amp; Rashid, 2018; Burkhart et al., 2022). These policy developments have </w:t>
      </w:r>
      <w:proofErr w:type="spellStart"/>
      <w:r w:rsidRPr="00CD4BDB">
        <w:rPr>
          <w:rFonts w:ascii="Times New Roman" w:eastAsia="Times New Roman" w:hAnsi="Times New Roman" w:cs="Times New Roman"/>
          <w:kern w:val="0"/>
          <w:sz w:val="24"/>
          <w:szCs w:val="24"/>
          <w:lang w:eastAsia="en-ID"/>
          <w14:ligatures w14:val="none"/>
        </w:rPr>
        <w:t>catalyzed</w:t>
      </w:r>
      <w:proofErr w:type="spellEnd"/>
      <w:r w:rsidRPr="00CD4BDB">
        <w:rPr>
          <w:rFonts w:ascii="Times New Roman" w:eastAsia="Times New Roman" w:hAnsi="Times New Roman" w:cs="Times New Roman"/>
          <w:kern w:val="0"/>
          <w:sz w:val="24"/>
          <w:szCs w:val="24"/>
          <w:lang w:eastAsia="en-ID"/>
          <w14:ligatures w14:val="none"/>
        </w:rPr>
        <w:t xml:space="preserve"> national reforms—particularly in low- and middle-income </w:t>
      </w:r>
      <w:r w:rsidRPr="00CD4BDB">
        <w:rPr>
          <w:rFonts w:ascii="Times New Roman" w:eastAsia="Times New Roman" w:hAnsi="Times New Roman" w:cs="Times New Roman"/>
          <w:kern w:val="0"/>
          <w:sz w:val="24"/>
          <w:szCs w:val="24"/>
          <w:lang w:eastAsia="en-ID"/>
          <w14:ligatures w14:val="none"/>
        </w:rPr>
        <w:lastRenderedPageBreak/>
        <w:t xml:space="preserve">countries—where improving meal quality and accessibility is linked directly to enhanced learning and social inclusion (Rathi et al., 2017; </w:t>
      </w:r>
      <w:proofErr w:type="spellStart"/>
      <w:r w:rsidRPr="00CD4BDB">
        <w:rPr>
          <w:rFonts w:ascii="Times New Roman" w:eastAsia="Times New Roman" w:hAnsi="Times New Roman" w:cs="Times New Roman"/>
          <w:kern w:val="0"/>
          <w:sz w:val="24"/>
          <w:szCs w:val="24"/>
          <w:lang w:eastAsia="en-ID"/>
          <w14:ligatures w14:val="none"/>
        </w:rPr>
        <w:t>Follong</w:t>
      </w:r>
      <w:proofErr w:type="spellEnd"/>
      <w:r w:rsidRPr="00CD4BDB">
        <w:rPr>
          <w:rFonts w:ascii="Times New Roman" w:eastAsia="Times New Roman" w:hAnsi="Times New Roman" w:cs="Times New Roman"/>
          <w:kern w:val="0"/>
          <w:sz w:val="24"/>
          <w:szCs w:val="24"/>
          <w:lang w:eastAsia="en-ID"/>
          <w14:ligatures w14:val="none"/>
        </w:rPr>
        <w:t xml:space="preserve"> et al., 2022).</w:t>
      </w:r>
    </w:p>
    <w:p w14:paraId="1C2D63D5"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Such global efforts underscore a shift toward evidence-based and contextually adaptable school nutrition frameworks that integrate nutrition education into core curricula. They advocate for systems-level approaches that view nutrition not merely as a health intervention but as a determinant of human development.</w:t>
      </w:r>
    </w:p>
    <w:p w14:paraId="145BA4B2" w14:textId="55D4D58B"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1AC9EAA0"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3.5 Debates and Controversies</w:t>
      </w:r>
    </w:p>
    <w:p w14:paraId="4F3ACB2C"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A central debate in the field concerns the relative effectiveness of </w:t>
      </w:r>
      <w:r w:rsidRPr="00CD4BDB">
        <w:rPr>
          <w:rFonts w:ascii="Times New Roman" w:eastAsia="Times New Roman" w:hAnsi="Times New Roman" w:cs="Times New Roman"/>
          <w:b/>
          <w:bCs/>
          <w:kern w:val="0"/>
          <w:sz w:val="24"/>
          <w:szCs w:val="24"/>
          <w:lang w:eastAsia="en-ID"/>
          <w14:ligatures w14:val="none"/>
        </w:rPr>
        <w:t>nutrition education versus environmental interventions</w:t>
      </w:r>
      <w:r w:rsidRPr="00CD4BDB">
        <w:rPr>
          <w:rFonts w:ascii="Times New Roman" w:eastAsia="Times New Roman" w:hAnsi="Times New Roman" w:cs="Times New Roman"/>
          <w:kern w:val="0"/>
          <w:sz w:val="24"/>
          <w:szCs w:val="24"/>
          <w:lang w:eastAsia="en-ID"/>
          <w14:ligatures w14:val="none"/>
        </w:rPr>
        <w:t xml:space="preserve"> in promoting dietary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change. While educational programs effectively raise awareness, critics argue that without supportive food environments, knowledge alone is insufficient to drive sustained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modification (</w:t>
      </w:r>
      <w:proofErr w:type="spellStart"/>
      <w:r w:rsidRPr="00CD4BDB">
        <w:rPr>
          <w:rFonts w:ascii="Times New Roman" w:eastAsia="Times New Roman" w:hAnsi="Times New Roman" w:cs="Times New Roman"/>
          <w:kern w:val="0"/>
          <w:sz w:val="24"/>
          <w:szCs w:val="24"/>
          <w:lang w:eastAsia="en-ID"/>
          <w14:ligatures w14:val="none"/>
        </w:rPr>
        <w:t>Mozaffarian</w:t>
      </w:r>
      <w:proofErr w:type="spellEnd"/>
      <w:r w:rsidRPr="00CD4BDB">
        <w:rPr>
          <w:rFonts w:ascii="Times New Roman" w:eastAsia="Times New Roman" w:hAnsi="Times New Roman" w:cs="Times New Roman"/>
          <w:kern w:val="0"/>
          <w:sz w:val="24"/>
          <w:szCs w:val="24"/>
          <w:lang w:eastAsia="en-ID"/>
          <w14:ligatures w14:val="none"/>
        </w:rPr>
        <w:t xml:space="preserve"> et al., 2012; Fink et al., 2018). Studies reveal that combining environmental modifications—such as healthier cafeteria offerings—with targeted education yields more substantial outcomes than education alone. Nonetheless, there remains ongoing discussion about the scalability and cost-effectiveness of integrated models across diverse socio-economic contexts.</w:t>
      </w:r>
    </w:p>
    <w:p w14:paraId="1D91490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Additionally, </w:t>
      </w:r>
      <w:r w:rsidRPr="00CD4BDB">
        <w:rPr>
          <w:rFonts w:ascii="Times New Roman" w:eastAsia="Times New Roman" w:hAnsi="Times New Roman" w:cs="Times New Roman"/>
          <w:b/>
          <w:bCs/>
          <w:kern w:val="0"/>
          <w:sz w:val="24"/>
          <w:szCs w:val="24"/>
          <w:lang w:eastAsia="en-ID"/>
          <w14:ligatures w14:val="none"/>
        </w:rPr>
        <w:t>cultural, social, and logistical factors</w:t>
      </w:r>
      <w:r w:rsidRPr="00CD4BDB">
        <w:rPr>
          <w:rFonts w:ascii="Times New Roman" w:eastAsia="Times New Roman" w:hAnsi="Times New Roman" w:cs="Times New Roman"/>
          <w:kern w:val="0"/>
          <w:sz w:val="24"/>
          <w:szCs w:val="24"/>
          <w:lang w:eastAsia="en-ID"/>
          <w14:ligatures w14:val="none"/>
        </w:rPr>
        <w:t xml:space="preserve"> play critical roles in shaping the success or failure of school meal policies. Cultural preferences and traditional dietary norms influence meal acceptance and participation rates (Alcântara et al., 2019). Socioeconomic determinants—such as parental education, income, and local food availability—affect students’ access to nutritious meals (Asakura et al., 2021). Furthermore, implementation challenges, including insufficient funding, staff shortages, and resource inequities, hinder the consistent delivery of high-quality meals (Burkhart et al., 2022). Addressing these multidimensional challenges requires policy coherence, community engagement, and localized adaptation to ensure sustainability and inclusivity in school nutrition systems.</w:t>
      </w:r>
    </w:p>
    <w:p w14:paraId="69AB568D" w14:textId="4AB6DC06" w:rsidR="00091BDC" w:rsidRPr="00CD4BDB" w:rsidRDefault="00720700"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hAnsi="Times New Roman" w:cs="Times New Roman"/>
          <w:noProof/>
          <w:sz w:val="24"/>
          <w:szCs w:val="24"/>
        </w:rPr>
        <w:lastRenderedPageBreak/>
        <w:drawing>
          <wp:inline distT="0" distB="0" distL="0" distR="0" wp14:anchorId="2E9D2B97" wp14:editId="448FFA44">
            <wp:extent cx="3564843" cy="5349240"/>
            <wp:effectExtent l="0" t="0" r="0" b="0"/>
            <wp:docPr id="477252701"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0034" cy="5357029"/>
                    </a:xfrm>
                    <a:prstGeom prst="rect">
                      <a:avLst/>
                    </a:prstGeom>
                    <a:noFill/>
                    <a:ln>
                      <a:noFill/>
                    </a:ln>
                  </pic:spPr>
                </pic:pic>
              </a:graphicData>
            </a:graphic>
          </wp:inline>
        </w:drawing>
      </w:r>
    </w:p>
    <w:p w14:paraId="6D244439" w14:textId="67C95ADC" w:rsidR="00091BDC" w:rsidRPr="00CD4BDB" w:rsidRDefault="00091BDC" w:rsidP="00CD4BDB">
      <w:pPr>
        <w:spacing w:before="100" w:beforeAutospacing="1" w:after="100" w:afterAutospacing="1" w:line="240" w:lineRule="auto"/>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 xml:space="preserve">Figure 2. </w:t>
      </w:r>
      <w:r w:rsidRPr="00D007CB">
        <w:rPr>
          <w:rFonts w:ascii="Times New Roman" w:eastAsia="Times New Roman" w:hAnsi="Times New Roman" w:cs="Times New Roman"/>
          <w:i/>
          <w:iCs/>
          <w:kern w:val="0"/>
          <w:sz w:val="24"/>
          <w:szCs w:val="24"/>
          <w:lang w:eastAsia="en-ID"/>
          <w14:ligatures w14:val="none"/>
        </w:rPr>
        <w:t>Conceptual Framework: Theory-of-Change Linking Education, Environment, and Policy</w:t>
      </w:r>
      <w:r w:rsidRPr="00D007CB">
        <w:rPr>
          <w:rFonts w:ascii="Times New Roman" w:eastAsia="Times New Roman" w:hAnsi="Times New Roman" w:cs="Times New Roman"/>
          <w:i/>
          <w:iCs/>
          <w:kern w:val="0"/>
          <w:sz w:val="24"/>
          <w:szCs w:val="24"/>
          <w:lang w:eastAsia="en-ID"/>
          <w14:ligatures w14:val="none"/>
        </w:rPr>
        <w:br/>
      </w:r>
    </w:p>
    <w:p w14:paraId="1844DB21" w14:textId="77777777" w:rsidR="00091BDC" w:rsidRPr="00CD4BDB" w:rsidRDefault="00091BDC" w:rsidP="00CD4BDB">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D"/>
          <w14:ligatures w14:val="none"/>
        </w:rPr>
      </w:pPr>
      <w:r w:rsidRPr="00CD4BDB">
        <w:rPr>
          <w:rFonts w:ascii="Times New Roman" w:eastAsia="Times New Roman" w:hAnsi="Times New Roman" w:cs="Times New Roman"/>
          <w:b/>
          <w:bCs/>
          <w:kern w:val="36"/>
          <w:sz w:val="24"/>
          <w:szCs w:val="24"/>
          <w:lang w:eastAsia="en-ID"/>
          <w14:ligatures w14:val="none"/>
        </w:rPr>
        <w:t>4.1 Classroom &amp; Experiential Nutrition Education</w:t>
      </w:r>
    </w:p>
    <w:p w14:paraId="24974E04"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Pedagogical models that effectively enhance nutrition knowledge and influence eating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among school children emphasize </w:t>
      </w:r>
      <w:r w:rsidRPr="00CD4BDB">
        <w:rPr>
          <w:rFonts w:ascii="Times New Roman" w:eastAsia="Times New Roman" w:hAnsi="Times New Roman" w:cs="Times New Roman"/>
          <w:b/>
          <w:bCs/>
          <w:kern w:val="0"/>
          <w:sz w:val="24"/>
          <w:szCs w:val="24"/>
          <w:lang w:eastAsia="en-ID"/>
          <w14:ligatures w14:val="none"/>
        </w:rPr>
        <w:t>participation-oriented and experiential learning approaches</w:t>
      </w:r>
      <w:r w:rsidRPr="00CD4BDB">
        <w:rPr>
          <w:rFonts w:ascii="Times New Roman" w:eastAsia="Times New Roman" w:hAnsi="Times New Roman" w:cs="Times New Roman"/>
          <w:kern w:val="0"/>
          <w:sz w:val="24"/>
          <w:szCs w:val="24"/>
          <w:lang w:eastAsia="en-ID"/>
          <w14:ligatures w14:val="none"/>
        </w:rPr>
        <w:t xml:space="preserve">. These models prioritize active engagement, critical thinking, and hands-on participation, which collectively contribute to lasting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change. Evidence demonstrates that programs incorporating </w:t>
      </w:r>
      <w:r w:rsidRPr="00CD4BDB">
        <w:rPr>
          <w:rFonts w:ascii="Times New Roman" w:eastAsia="Times New Roman" w:hAnsi="Times New Roman" w:cs="Times New Roman"/>
          <w:b/>
          <w:bCs/>
          <w:kern w:val="0"/>
          <w:sz w:val="24"/>
          <w:szCs w:val="24"/>
          <w:lang w:eastAsia="en-ID"/>
          <w14:ligatures w14:val="none"/>
        </w:rPr>
        <w:t>interactive tools</w:t>
      </w:r>
      <w:r w:rsidRPr="00CD4BDB">
        <w:rPr>
          <w:rFonts w:ascii="Times New Roman" w:eastAsia="Times New Roman" w:hAnsi="Times New Roman" w:cs="Times New Roman"/>
          <w:kern w:val="0"/>
          <w:sz w:val="24"/>
          <w:szCs w:val="24"/>
          <w:lang w:eastAsia="en-ID"/>
          <w14:ligatures w14:val="none"/>
        </w:rPr>
        <w:t>—such as card games, storytelling, and workshops—significantly improve students’ nutrition knowledge and awareness (</w:t>
      </w:r>
      <w:proofErr w:type="spellStart"/>
      <w:r w:rsidRPr="00CD4BDB">
        <w:rPr>
          <w:rFonts w:ascii="Times New Roman" w:eastAsia="Times New Roman" w:hAnsi="Times New Roman" w:cs="Times New Roman"/>
          <w:kern w:val="0"/>
          <w:sz w:val="24"/>
          <w:szCs w:val="24"/>
          <w:lang w:eastAsia="en-ID"/>
          <w14:ligatures w14:val="none"/>
        </w:rPr>
        <w:t>Rimbawan</w:t>
      </w:r>
      <w:proofErr w:type="spellEnd"/>
      <w:r w:rsidRPr="00CD4BDB">
        <w:rPr>
          <w:rFonts w:ascii="Times New Roman" w:eastAsia="Times New Roman" w:hAnsi="Times New Roman" w:cs="Times New Roman"/>
          <w:kern w:val="0"/>
          <w:sz w:val="24"/>
          <w:szCs w:val="24"/>
          <w:lang w:eastAsia="en-ID"/>
          <w14:ligatures w14:val="none"/>
        </w:rPr>
        <w:t xml:space="preserve"> et al., 2023). Likewise, experiential interventions involving </w:t>
      </w:r>
      <w:r w:rsidRPr="00CD4BDB">
        <w:rPr>
          <w:rFonts w:ascii="Times New Roman" w:eastAsia="Times New Roman" w:hAnsi="Times New Roman" w:cs="Times New Roman"/>
          <w:b/>
          <w:bCs/>
          <w:kern w:val="0"/>
          <w:sz w:val="24"/>
          <w:szCs w:val="24"/>
          <w:lang w:eastAsia="en-ID"/>
          <w14:ligatures w14:val="none"/>
        </w:rPr>
        <w:t>cooking classes, school gardens, and sensory-based education</w:t>
      </w:r>
      <w:r w:rsidRPr="00CD4BDB">
        <w:rPr>
          <w:rFonts w:ascii="Times New Roman" w:eastAsia="Times New Roman" w:hAnsi="Times New Roman" w:cs="Times New Roman"/>
          <w:kern w:val="0"/>
          <w:sz w:val="24"/>
          <w:szCs w:val="24"/>
          <w:lang w:eastAsia="en-ID"/>
          <w14:ligatures w14:val="none"/>
        </w:rPr>
        <w:t xml:space="preserve"> deepen students’ understanding of food sources and nutrition while encouraging healthier food preferences (Laitinen et al., 2022). For example, students who engage in preparing or cultivating food demonstrate improved dietary choices and a higher propensity to select fruits and vegetables, reflecting the effectiveness of such participatory educational strategies (Laitinen et al., 2022).</w:t>
      </w:r>
    </w:p>
    <w:p w14:paraId="5B98BECD"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lastRenderedPageBreak/>
        <w:t xml:space="preserve">Experiential learning is particularly effective in shaping </w:t>
      </w:r>
      <w:r w:rsidRPr="00CD4BDB">
        <w:rPr>
          <w:rFonts w:ascii="Times New Roman" w:eastAsia="Times New Roman" w:hAnsi="Times New Roman" w:cs="Times New Roman"/>
          <w:b/>
          <w:bCs/>
          <w:kern w:val="0"/>
          <w:sz w:val="24"/>
          <w:szCs w:val="24"/>
          <w:lang w:eastAsia="en-ID"/>
          <w14:ligatures w14:val="none"/>
        </w:rPr>
        <w:t xml:space="preserve">food acceptance and consumption </w:t>
      </w:r>
      <w:proofErr w:type="spellStart"/>
      <w:r w:rsidRPr="00CD4BDB">
        <w:rPr>
          <w:rFonts w:ascii="Times New Roman" w:eastAsia="Times New Roman" w:hAnsi="Times New Roman" w:cs="Times New Roman"/>
          <w:b/>
          <w:bCs/>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Garden-based learning and cooking sessions create a tangible connection between children and their food, leading to greater appreciation for fresh produce and heightened willingness to try new foods (Rector et al., 2021; Laitinen et al., 2022). These programs move beyond passive information transfer by fostering direct engagement with the food environment. Research shows that participation in school gardens enhances students’ comprehension of food systems while increasing actual fruit and vegetable intake (Rector et al., 2021). Moreover, </w:t>
      </w:r>
      <w:r w:rsidRPr="00CD4BDB">
        <w:rPr>
          <w:rFonts w:ascii="Times New Roman" w:eastAsia="Times New Roman" w:hAnsi="Times New Roman" w:cs="Times New Roman"/>
          <w:b/>
          <w:bCs/>
          <w:kern w:val="0"/>
          <w:sz w:val="24"/>
          <w:szCs w:val="24"/>
          <w:lang w:eastAsia="en-ID"/>
          <w14:ligatures w14:val="none"/>
        </w:rPr>
        <w:t>sensory education interventions</w:t>
      </w:r>
      <w:r w:rsidRPr="00CD4BDB">
        <w:rPr>
          <w:rFonts w:ascii="Times New Roman" w:eastAsia="Times New Roman" w:hAnsi="Times New Roman" w:cs="Times New Roman"/>
          <w:kern w:val="0"/>
          <w:sz w:val="24"/>
          <w:szCs w:val="24"/>
          <w:lang w:eastAsia="en-ID"/>
          <w14:ligatures w14:val="none"/>
        </w:rPr>
        <w:t xml:space="preserve">, where students taste and discuss foods of varying </w:t>
      </w:r>
      <w:proofErr w:type="spellStart"/>
      <w:r w:rsidRPr="00CD4BDB">
        <w:rPr>
          <w:rFonts w:ascii="Times New Roman" w:eastAsia="Times New Roman" w:hAnsi="Times New Roman" w:cs="Times New Roman"/>
          <w:kern w:val="0"/>
          <w:sz w:val="24"/>
          <w:szCs w:val="24"/>
          <w:lang w:eastAsia="en-ID"/>
          <w14:ligatures w14:val="none"/>
        </w:rPr>
        <w:t>flavors</w:t>
      </w:r>
      <w:proofErr w:type="spellEnd"/>
      <w:r w:rsidRPr="00CD4BDB">
        <w:rPr>
          <w:rFonts w:ascii="Times New Roman" w:eastAsia="Times New Roman" w:hAnsi="Times New Roman" w:cs="Times New Roman"/>
          <w:kern w:val="0"/>
          <w:sz w:val="24"/>
          <w:szCs w:val="24"/>
          <w:lang w:eastAsia="en-ID"/>
          <w14:ligatures w14:val="none"/>
        </w:rPr>
        <w:t xml:space="preserve"> and textures, have been shown to increase acceptance of a broader range of nutritious foods (Cohen et al., 2021). Such sensory experiences are vital for developing positive food attitudes that endure throughout adolescence.</w:t>
      </w:r>
    </w:p>
    <w:p w14:paraId="0DDCA60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w:t>
      </w:r>
      <w:r w:rsidRPr="00CD4BDB">
        <w:rPr>
          <w:rFonts w:ascii="Times New Roman" w:eastAsia="Times New Roman" w:hAnsi="Times New Roman" w:cs="Times New Roman"/>
          <w:b/>
          <w:bCs/>
          <w:kern w:val="0"/>
          <w:sz w:val="24"/>
          <w:szCs w:val="24"/>
          <w:lang w:eastAsia="en-ID"/>
          <w14:ligatures w14:val="none"/>
        </w:rPr>
        <w:t>success of classroom-based nutrition interventions</w:t>
      </w:r>
      <w:r w:rsidRPr="00CD4BDB">
        <w:rPr>
          <w:rFonts w:ascii="Times New Roman" w:eastAsia="Times New Roman" w:hAnsi="Times New Roman" w:cs="Times New Roman"/>
          <w:kern w:val="0"/>
          <w:sz w:val="24"/>
          <w:szCs w:val="24"/>
          <w:lang w:eastAsia="en-ID"/>
          <w14:ligatures w14:val="none"/>
        </w:rPr>
        <w:t xml:space="preserve"> hinges on the roles of teachers, parents, and peers. Teachers serve as facilitators of learning and role models for healthy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Their motivation, knowledge, and training directly impact program delivery and student engagement (Heim et al., 2022). Well-prepared educators can create interactive environments that promote curiosity and reinforce the health benefits of nutritious eating. </w:t>
      </w:r>
      <w:r w:rsidRPr="00CD4BDB">
        <w:rPr>
          <w:rFonts w:ascii="Times New Roman" w:eastAsia="Times New Roman" w:hAnsi="Times New Roman" w:cs="Times New Roman"/>
          <w:b/>
          <w:bCs/>
          <w:kern w:val="0"/>
          <w:sz w:val="24"/>
          <w:szCs w:val="24"/>
          <w:lang w:eastAsia="en-ID"/>
          <w14:ligatures w14:val="none"/>
        </w:rPr>
        <w:t>Parental involvement</w:t>
      </w:r>
      <w:r w:rsidRPr="00CD4BDB">
        <w:rPr>
          <w:rFonts w:ascii="Times New Roman" w:eastAsia="Times New Roman" w:hAnsi="Times New Roman" w:cs="Times New Roman"/>
          <w:kern w:val="0"/>
          <w:sz w:val="24"/>
          <w:szCs w:val="24"/>
          <w:lang w:eastAsia="en-ID"/>
          <w14:ligatures w14:val="none"/>
        </w:rPr>
        <w:t xml:space="preserve"> complements school-based efforts by extending nutrition education into the home setting. Parents who are informed and aligned with school initiatives reinforce healthy dietary habits through consistent messages and food availability (</w:t>
      </w:r>
      <w:proofErr w:type="spellStart"/>
      <w:r w:rsidRPr="00CD4BDB">
        <w:rPr>
          <w:rFonts w:ascii="Times New Roman" w:eastAsia="Times New Roman" w:hAnsi="Times New Roman" w:cs="Times New Roman"/>
          <w:kern w:val="0"/>
          <w:sz w:val="24"/>
          <w:szCs w:val="24"/>
          <w:lang w:eastAsia="en-ID"/>
          <w14:ligatures w14:val="none"/>
        </w:rPr>
        <w:t>Rimbawan</w:t>
      </w:r>
      <w:proofErr w:type="spellEnd"/>
      <w:r w:rsidRPr="00CD4BDB">
        <w:rPr>
          <w:rFonts w:ascii="Times New Roman" w:eastAsia="Times New Roman" w:hAnsi="Times New Roman" w:cs="Times New Roman"/>
          <w:kern w:val="0"/>
          <w:sz w:val="24"/>
          <w:szCs w:val="24"/>
          <w:lang w:eastAsia="en-ID"/>
          <w14:ligatures w14:val="none"/>
        </w:rPr>
        <w:t xml:space="preserve"> et al., 2023). Additionally, </w:t>
      </w:r>
      <w:r w:rsidRPr="00CD4BDB">
        <w:rPr>
          <w:rFonts w:ascii="Times New Roman" w:eastAsia="Times New Roman" w:hAnsi="Times New Roman" w:cs="Times New Roman"/>
          <w:b/>
          <w:bCs/>
          <w:kern w:val="0"/>
          <w:sz w:val="24"/>
          <w:szCs w:val="24"/>
          <w:lang w:eastAsia="en-ID"/>
          <w14:ligatures w14:val="none"/>
        </w:rPr>
        <w:t>peer dynamics</w:t>
      </w:r>
      <w:r w:rsidRPr="00CD4BDB">
        <w:rPr>
          <w:rFonts w:ascii="Times New Roman" w:eastAsia="Times New Roman" w:hAnsi="Times New Roman" w:cs="Times New Roman"/>
          <w:kern w:val="0"/>
          <w:sz w:val="24"/>
          <w:szCs w:val="24"/>
          <w:lang w:eastAsia="en-ID"/>
          <w14:ligatures w14:val="none"/>
        </w:rPr>
        <w:t xml:space="preserve"> exert a substantial influence on food choices—children often emulate peers’ eating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creating social norms that can either encourage or hinder healthy food acceptance (Rossi et al., 2021). Collaborative and peer-driven classroom activities amplify these positive influences, turning social learning into a mechanism for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reinforcement.</w:t>
      </w:r>
    </w:p>
    <w:p w14:paraId="64DA0F11"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Another crucial determinant of program effectiveness is </w:t>
      </w:r>
      <w:r w:rsidRPr="00CD4BDB">
        <w:rPr>
          <w:rFonts w:ascii="Times New Roman" w:eastAsia="Times New Roman" w:hAnsi="Times New Roman" w:cs="Times New Roman"/>
          <w:b/>
          <w:bCs/>
          <w:kern w:val="0"/>
          <w:sz w:val="24"/>
          <w:szCs w:val="24"/>
          <w:lang w:eastAsia="en-ID"/>
          <w14:ligatures w14:val="none"/>
        </w:rPr>
        <w:t>implementation fidelity</w:t>
      </w:r>
      <w:r w:rsidRPr="00CD4BDB">
        <w:rPr>
          <w:rFonts w:ascii="Times New Roman" w:eastAsia="Times New Roman" w:hAnsi="Times New Roman" w:cs="Times New Roman"/>
          <w:kern w:val="0"/>
          <w:sz w:val="24"/>
          <w:szCs w:val="24"/>
          <w:lang w:eastAsia="en-ID"/>
          <w14:ligatures w14:val="none"/>
        </w:rPr>
        <w:t xml:space="preserve">—the degree to which an intervention is delivered as originally designed. High fidelity ensures that educational components, materials, and experiential activities are executed consistently, thereby maximizing program impact (França et al., 2024). Studies show that strong adherence to structured nutrition curricula correlates with significant improvements in dietary knowledge and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while low fidelity can attenuate outcomes due to missed key components or inconsistent delivery (</w:t>
      </w:r>
      <w:proofErr w:type="spellStart"/>
      <w:r w:rsidRPr="00CD4BDB">
        <w:rPr>
          <w:rFonts w:ascii="Times New Roman" w:eastAsia="Times New Roman" w:hAnsi="Times New Roman" w:cs="Times New Roman"/>
          <w:kern w:val="0"/>
          <w:sz w:val="24"/>
          <w:szCs w:val="24"/>
          <w:lang w:eastAsia="en-ID"/>
          <w14:ligatures w14:val="none"/>
        </w:rPr>
        <w:t>Sagbo</w:t>
      </w:r>
      <w:proofErr w:type="spellEnd"/>
      <w:r w:rsidRPr="00CD4BDB">
        <w:rPr>
          <w:rFonts w:ascii="Times New Roman" w:eastAsia="Times New Roman" w:hAnsi="Times New Roman" w:cs="Times New Roman"/>
          <w:kern w:val="0"/>
          <w:sz w:val="24"/>
          <w:szCs w:val="24"/>
          <w:lang w:eastAsia="en-ID"/>
          <w14:ligatures w14:val="none"/>
        </w:rPr>
        <w:t xml:space="preserve"> &amp; </w:t>
      </w:r>
      <w:proofErr w:type="spellStart"/>
      <w:r w:rsidRPr="00CD4BDB">
        <w:rPr>
          <w:rFonts w:ascii="Times New Roman" w:eastAsia="Times New Roman" w:hAnsi="Times New Roman" w:cs="Times New Roman"/>
          <w:kern w:val="0"/>
          <w:sz w:val="24"/>
          <w:szCs w:val="24"/>
          <w:lang w:eastAsia="en-ID"/>
          <w14:ligatures w14:val="none"/>
        </w:rPr>
        <w:t>Kpodji</w:t>
      </w:r>
      <w:proofErr w:type="spellEnd"/>
      <w:r w:rsidRPr="00CD4BDB">
        <w:rPr>
          <w:rFonts w:ascii="Times New Roman" w:eastAsia="Times New Roman" w:hAnsi="Times New Roman" w:cs="Times New Roman"/>
          <w:kern w:val="0"/>
          <w:sz w:val="24"/>
          <w:szCs w:val="24"/>
          <w:lang w:eastAsia="en-ID"/>
          <w14:ligatures w14:val="none"/>
        </w:rPr>
        <w:t xml:space="preserve">, 2023). Sustained monitoring, coaching, and resource support for teachers can mitigate fidelity challenges and enhance program sustainability (Locke et al., 2024; Cohen et al., 2021). In particular, fidelity monitoring enables schools to adapt implementation strategies without compromising program integrity, fostering long-term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change.</w:t>
      </w:r>
    </w:p>
    <w:p w14:paraId="1C80E5AE"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In summary, </w:t>
      </w:r>
      <w:r w:rsidRPr="00CD4BDB">
        <w:rPr>
          <w:rFonts w:ascii="Times New Roman" w:eastAsia="Times New Roman" w:hAnsi="Times New Roman" w:cs="Times New Roman"/>
          <w:b/>
          <w:bCs/>
          <w:kern w:val="0"/>
          <w:sz w:val="24"/>
          <w:szCs w:val="24"/>
          <w:lang w:eastAsia="en-ID"/>
          <w14:ligatures w14:val="none"/>
        </w:rPr>
        <w:t>classroom and experiential nutrition education</w:t>
      </w:r>
      <w:r w:rsidRPr="00CD4BDB">
        <w:rPr>
          <w:rFonts w:ascii="Times New Roman" w:eastAsia="Times New Roman" w:hAnsi="Times New Roman" w:cs="Times New Roman"/>
          <w:kern w:val="0"/>
          <w:sz w:val="24"/>
          <w:szCs w:val="24"/>
          <w:lang w:eastAsia="en-ID"/>
          <w14:ligatures w14:val="none"/>
        </w:rPr>
        <w:t xml:space="preserve"> represents a critical pathway for promoting health literacy and dietary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transformation among children. The integration of interactive pedagogies, teacher engagement, parental reinforcement, and peer </w:t>
      </w:r>
      <w:proofErr w:type="spellStart"/>
      <w:r w:rsidRPr="00CD4BDB">
        <w:rPr>
          <w:rFonts w:ascii="Times New Roman" w:eastAsia="Times New Roman" w:hAnsi="Times New Roman" w:cs="Times New Roman"/>
          <w:kern w:val="0"/>
          <w:sz w:val="24"/>
          <w:szCs w:val="24"/>
          <w:lang w:eastAsia="en-ID"/>
          <w14:ligatures w14:val="none"/>
        </w:rPr>
        <w:t>modeling</w:t>
      </w:r>
      <w:proofErr w:type="spellEnd"/>
      <w:r w:rsidRPr="00CD4BDB">
        <w:rPr>
          <w:rFonts w:ascii="Times New Roman" w:eastAsia="Times New Roman" w:hAnsi="Times New Roman" w:cs="Times New Roman"/>
          <w:kern w:val="0"/>
          <w:sz w:val="24"/>
          <w:szCs w:val="24"/>
          <w:lang w:eastAsia="en-ID"/>
          <w14:ligatures w14:val="none"/>
        </w:rPr>
        <w:t xml:space="preserve"> forms a synergistic foundation for success. However, consistent implementation, context-specific adaptation, and fidelity assurance remain essential for achieving durable outcomes. The evidence underscores that when education transcends didactic instruction and incorporates experiential, collaborative, and sensory dimensions, it not only strengthens nutritional knowledge but also embeds healthy eating as a learned and lived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w:t>
      </w:r>
    </w:p>
    <w:p w14:paraId="17F80A46" w14:textId="6674E8B0"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21AECC8A"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Table 1. Classroom &amp; Experiential Nutrition Education Studies (Theme 4.1)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2"/>
        <w:gridCol w:w="967"/>
        <w:gridCol w:w="1921"/>
        <w:gridCol w:w="1450"/>
        <w:gridCol w:w="1391"/>
        <w:gridCol w:w="2055"/>
      </w:tblGrid>
      <w:tr w:rsidR="00091BDC" w:rsidRPr="00CD4BDB" w14:paraId="4028A7F9" w14:textId="77777777">
        <w:trPr>
          <w:tblHeader/>
          <w:tblCellSpacing w:w="15" w:type="dxa"/>
        </w:trPr>
        <w:tc>
          <w:tcPr>
            <w:tcW w:w="0" w:type="auto"/>
            <w:vAlign w:val="center"/>
            <w:hideMark/>
          </w:tcPr>
          <w:p w14:paraId="49E98AF2"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lastRenderedPageBreak/>
              <w:t>Author/Year</w:t>
            </w:r>
          </w:p>
        </w:tc>
        <w:tc>
          <w:tcPr>
            <w:tcW w:w="0" w:type="auto"/>
            <w:vAlign w:val="center"/>
            <w:hideMark/>
          </w:tcPr>
          <w:p w14:paraId="1F844453"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Research Context</w:t>
            </w:r>
          </w:p>
        </w:tc>
        <w:tc>
          <w:tcPr>
            <w:tcW w:w="0" w:type="auto"/>
            <w:vAlign w:val="center"/>
            <w:hideMark/>
          </w:tcPr>
          <w:p w14:paraId="303DF8E6"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Methodology/Design</w:t>
            </w:r>
          </w:p>
        </w:tc>
        <w:tc>
          <w:tcPr>
            <w:tcW w:w="0" w:type="auto"/>
            <w:vAlign w:val="center"/>
            <w:hideMark/>
          </w:tcPr>
          <w:p w14:paraId="548253BD"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Intervention Components</w:t>
            </w:r>
          </w:p>
        </w:tc>
        <w:tc>
          <w:tcPr>
            <w:tcW w:w="0" w:type="auto"/>
            <w:vAlign w:val="center"/>
            <w:hideMark/>
          </w:tcPr>
          <w:p w14:paraId="26D35EBE"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Key Findings</w:t>
            </w:r>
          </w:p>
        </w:tc>
        <w:tc>
          <w:tcPr>
            <w:tcW w:w="0" w:type="auto"/>
            <w:vAlign w:val="center"/>
            <w:hideMark/>
          </w:tcPr>
          <w:p w14:paraId="15E653C7"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Strengths/Limitations</w:t>
            </w:r>
          </w:p>
        </w:tc>
      </w:tr>
      <w:tr w:rsidR="00091BDC" w:rsidRPr="00CD4BDB" w14:paraId="6019110F" w14:textId="77777777">
        <w:trPr>
          <w:tblCellSpacing w:w="15" w:type="dxa"/>
        </w:trPr>
        <w:tc>
          <w:tcPr>
            <w:tcW w:w="0" w:type="auto"/>
            <w:vAlign w:val="center"/>
            <w:hideMark/>
          </w:tcPr>
          <w:p w14:paraId="72C0DB83"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roofErr w:type="spellStart"/>
            <w:r w:rsidRPr="00CD4BDB">
              <w:rPr>
                <w:rFonts w:ascii="Times New Roman" w:eastAsia="Times New Roman" w:hAnsi="Times New Roman" w:cs="Times New Roman"/>
                <w:kern w:val="0"/>
                <w:sz w:val="24"/>
                <w:szCs w:val="24"/>
                <w:lang w:eastAsia="en-ID"/>
                <w14:ligatures w14:val="none"/>
              </w:rPr>
              <w:t>Chawner</w:t>
            </w:r>
            <w:proofErr w:type="spellEnd"/>
            <w:r w:rsidRPr="00CD4BDB">
              <w:rPr>
                <w:rFonts w:ascii="Times New Roman" w:eastAsia="Times New Roman" w:hAnsi="Times New Roman" w:cs="Times New Roman"/>
                <w:kern w:val="0"/>
                <w:sz w:val="24"/>
                <w:szCs w:val="24"/>
                <w:lang w:eastAsia="en-ID"/>
                <w14:ligatures w14:val="none"/>
              </w:rPr>
              <w:t xml:space="preserve"> et al., 2024</w:t>
            </w:r>
          </w:p>
        </w:tc>
        <w:tc>
          <w:tcPr>
            <w:tcW w:w="0" w:type="auto"/>
            <w:vAlign w:val="center"/>
            <w:hideMark/>
          </w:tcPr>
          <w:p w14:paraId="6BB22B8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UK preschools and early primary</w:t>
            </w:r>
          </w:p>
        </w:tc>
        <w:tc>
          <w:tcPr>
            <w:tcW w:w="0" w:type="auto"/>
            <w:vAlign w:val="center"/>
            <w:hideMark/>
          </w:tcPr>
          <w:p w14:paraId="2D3D768C"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Experimental feasibility study</w:t>
            </w:r>
          </w:p>
        </w:tc>
        <w:tc>
          <w:tcPr>
            <w:tcW w:w="0" w:type="auto"/>
            <w:vAlign w:val="center"/>
            <w:hideMark/>
          </w:tcPr>
          <w:p w14:paraId="29F9A6DD"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Vegetables-served-first, experiential learning (songs, videos)</w:t>
            </w:r>
          </w:p>
        </w:tc>
        <w:tc>
          <w:tcPr>
            <w:tcW w:w="0" w:type="auto"/>
            <w:vAlign w:val="center"/>
            <w:hideMark/>
          </w:tcPr>
          <w:p w14:paraId="69832321"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Improved vegetable intake (~12 g); high feasibility</w:t>
            </w:r>
          </w:p>
        </w:tc>
        <w:tc>
          <w:tcPr>
            <w:tcW w:w="0" w:type="auto"/>
            <w:vAlign w:val="center"/>
            <w:hideMark/>
          </w:tcPr>
          <w:p w14:paraId="66E7A7B1"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Strength: Practical implementation; Limitation: short duration</w:t>
            </w:r>
          </w:p>
        </w:tc>
      </w:tr>
      <w:tr w:rsidR="00091BDC" w:rsidRPr="00CD4BDB" w14:paraId="76449048" w14:textId="77777777">
        <w:trPr>
          <w:tblCellSpacing w:w="15" w:type="dxa"/>
        </w:trPr>
        <w:tc>
          <w:tcPr>
            <w:tcW w:w="0" w:type="auto"/>
            <w:vAlign w:val="center"/>
            <w:hideMark/>
          </w:tcPr>
          <w:p w14:paraId="3CB04B89"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roofErr w:type="spellStart"/>
            <w:r w:rsidRPr="00CD4BDB">
              <w:rPr>
                <w:rFonts w:ascii="Times New Roman" w:eastAsia="Times New Roman" w:hAnsi="Times New Roman" w:cs="Times New Roman"/>
                <w:kern w:val="0"/>
                <w:sz w:val="24"/>
                <w:szCs w:val="24"/>
                <w:lang w:eastAsia="en-ID"/>
                <w14:ligatures w14:val="none"/>
              </w:rPr>
              <w:t>Adeoya</w:t>
            </w:r>
            <w:proofErr w:type="spellEnd"/>
            <w:r w:rsidRPr="00CD4BDB">
              <w:rPr>
                <w:rFonts w:ascii="Times New Roman" w:eastAsia="Times New Roman" w:hAnsi="Times New Roman" w:cs="Times New Roman"/>
                <w:kern w:val="0"/>
                <w:sz w:val="24"/>
                <w:szCs w:val="24"/>
                <w:lang w:eastAsia="en-ID"/>
                <w14:ligatures w14:val="none"/>
              </w:rPr>
              <w:t xml:space="preserve"> et al., 2023</w:t>
            </w:r>
          </w:p>
        </w:tc>
        <w:tc>
          <w:tcPr>
            <w:tcW w:w="0" w:type="auto"/>
            <w:vAlign w:val="center"/>
            <w:hideMark/>
          </w:tcPr>
          <w:p w14:paraId="524E8D80"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Nigeria primary schools</w:t>
            </w:r>
          </w:p>
        </w:tc>
        <w:tc>
          <w:tcPr>
            <w:tcW w:w="0" w:type="auto"/>
            <w:vAlign w:val="center"/>
            <w:hideMark/>
          </w:tcPr>
          <w:p w14:paraId="2A975353"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Quasi-experimental pre–post</w:t>
            </w:r>
          </w:p>
        </w:tc>
        <w:tc>
          <w:tcPr>
            <w:tcW w:w="0" w:type="auto"/>
            <w:vAlign w:val="center"/>
            <w:hideMark/>
          </w:tcPr>
          <w:p w14:paraId="0A64593E"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Classroom module on nutrition knowledge</w:t>
            </w:r>
          </w:p>
        </w:tc>
        <w:tc>
          <w:tcPr>
            <w:tcW w:w="0" w:type="auto"/>
            <w:vAlign w:val="center"/>
            <w:hideMark/>
          </w:tcPr>
          <w:p w14:paraId="46C05AF1"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Improved nutrition knowledge and attitudes</w:t>
            </w:r>
          </w:p>
        </w:tc>
        <w:tc>
          <w:tcPr>
            <w:tcW w:w="0" w:type="auto"/>
            <w:vAlign w:val="center"/>
            <w:hideMark/>
          </w:tcPr>
          <w:p w14:paraId="5C6DAAF6"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Strength: clear gains; Limitation: no biomarker data</w:t>
            </w:r>
          </w:p>
        </w:tc>
      </w:tr>
      <w:tr w:rsidR="00091BDC" w:rsidRPr="00CD4BDB" w14:paraId="146475C7" w14:textId="77777777">
        <w:trPr>
          <w:tblCellSpacing w:w="15" w:type="dxa"/>
        </w:trPr>
        <w:tc>
          <w:tcPr>
            <w:tcW w:w="0" w:type="auto"/>
            <w:vAlign w:val="center"/>
            <w:hideMark/>
          </w:tcPr>
          <w:p w14:paraId="3F601018"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Laitinen et al., 2022</w:t>
            </w:r>
          </w:p>
        </w:tc>
        <w:tc>
          <w:tcPr>
            <w:tcW w:w="0" w:type="auto"/>
            <w:vAlign w:val="center"/>
            <w:hideMark/>
          </w:tcPr>
          <w:p w14:paraId="63563EF6"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Finland primary schools</w:t>
            </w:r>
          </w:p>
        </w:tc>
        <w:tc>
          <w:tcPr>
            <w:tcW w:w="0" w:type="auto"/>
            <w:vAlign w:val="center"/>
            <w:hideMark/>
          </w:tcPr>
          <w:p w14:paraId="7EBA3FD3"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Quasi-experimental, 25 schools</w:t>
            </w:r>
          </w:p>
        </w:tc>
        <w:tc>
          <w:tcPr>
            <w:tcW w:w="0" w:type="auto"/>
            <w:vAlign w:val="center"/>
            <w:hideMark/>
          </w:tcPr>
          <w:p w14:paraId="4A2F8766"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“Tasty School” teacher-delivered education</w:t>
            </w:r>
          </w:p>
        </w:tc>
        <w:tc>
          <w:tcPr>
            <w:tcW w:w="0" w:type="auto"/>
            <w:vAlign w:val="center"/>
            <w:hideMark/>
          </w:tcPr>
          <w:p w14:paraId="1C6A36BD"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Increased balanced meal consumption; improved social dining</w:t>
            </w:r>
          </w:p>
        </w:tc>
        <w:tc>
          <w:tcPr>
            <w:tcW w:w="0" w:type="auto"/>
            <w:vAlign w:val="center"/>
            <w:hideMark/>
          </w:tcPr>
          <w:p w14:paraId="31C2AC9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Strength: multi-site design; Limitation: self-reports</w:t>
            </w:r>
          </w:p>
        </w:tc>
      </w:tr>
      <w:tr w:rsidR="00091BDC" w:rsidRPr="00CD4BDB" w14:paraId="08BECCF7" w14:textId="77777777">
        <w:trPr>
          <w:tblCellSpacing w:w="15" w:type="dxa"/>
        </w:trPr>
        <w:tc>
          <w:tcPr>
            <w:tcW w:w="0" w:type="auto"/>
            <w:vAlign w:val="center"/>
            <w:hideMark/>
          </w:tcPr>
          <w:p w14:paraId="6D0700FF"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roofErr w:type="spellStart"/>
            <w:r w:rsidRPr="00CD4BDB">
              <w:rPr>
                <w:rFonts w:ascii="Times New Roman" w:eastAsia="Times New Roman" w:hAnsi="Times New Roman" w:cs="Times New Roman"/>
                <w:kern w:val="0"/>
                <w:sz w:val="24"/>
                <w:szCs w:val="24"/>
                <w:lang w:eastAsia="en-ID"/>
                <w14:ligatures w14:val="none"/>
              </w:rPr>
              <w:t>Sapwarobol</w:t>
            </w:r>
            <w:proofErr w:type="spellEnd"/>
            <w:r w:rsidRPr="00CD4BDB">
              <w:rPr>
                <w:rFonts w:ascii="Times New Roman" w:eastAsia="Times New Roman" w:hAnsi="Times New Roman" w:cs="Times New Roman"/>
                <w:kern w:val="0"/>
                <w:sz w:val="24"/>
                <w:szCs w:val="24"/>
                <w:lang w:eastAsia="en-ID"/>
                <w14:ligatures w14:val="none"/>
              </w:rPr>
              <w:t xml:space="preserve"> &amp; </w:t>
            </w:r>
            <w:proofErr w:type="spellStart"/>
            <w:r w:rsidRPr="00CD4BDB">
              <w:rPr>
                <w:rFonts w:ascii="Times New Roman" w:eastAsia="Times New Roman" w:hAnsi="Times New Roman" w:cs="Times New Roman"/>
                <w:kern w:val="0"/>
                <w:sz w:val="24"/>
                <w:szCs w:val="24"/>
                <w:lang w:eastAsia="en-ID"/>
                <w14:ligatures w14:val="none"/>
              </w:rPr>
              <w:t>Hataichanok</w:t>
            </w:r>
            <w:proofErr w:type="spellEnd"/>
            <w:r w:rsidRPr="00CD4BDB">
              <w:rPr>
                <w:rFonts w:ascii="Times New Roman" w:eastAsia="Times New Roman" w:hAnsi="Times New Roman" w:cs="Times New Roman"/>
                <w:kern w:val="0"/>
                <w:sz w:val="24"/>
                <w:szCs w:val="24"/>
                <w:lang w:eastAsia="en-ID"/>
                <w14:ligatures w14:val="none"/>
              </w:rPr>
              <w:t>, 2024</w:t>
            </w:r>
          </w:p>
        </w:tc>
        <w:tc>
          <w:tcPr>
            <w:tcW w:w="0" w:type="auto"/>
            <w:vAlign w:val="center"/>
            <w:hideMark/>
          </w:tcPr>
          <w:p w14:paraId="40BE2F32"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Thailand preschools</w:t>
            </w:r>
          </w:p>
        </w:tc>
        <w:tc>
          <w:tcPr>
            <w:tcW w:w="0" w:type="auto"/>
            <w:vAlign w:val="center"/>
            <w:hideMark/>
          </w:tcPr>
          <w:p w14:paraId="5B25750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Pre–post intervention</w:t>
            </w:r>
          </w:p>
        </w:tc>
        <w:tc>
          <w:tcPr>
            <w:tcW w:w="0" w:type="auto"/>
            <w:vAlign w:val="center"/>
            <w:hideMark/>
          </w:tcPr>
          <w:p w14:paraId="470805B5"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“Hero Plate” multicomponent program (education + lunch menus)</w:t>
            </w:r>
          </w:p>
        </w:tc>
        <w:tc>
          <w:tcPr>
            <w:tcW w:w="0" w:type="auto"/>
            <w:vAlign w:val="center"/>
            <w:hideMark/>
          </w:tcPr>
          <w:p w14:paraId="19CFBB03"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Increased vegetable (+127%) and fruit (+45%) intake</w:t>
            </w:r>
          </w:p>
        </w:tc>
        <w:tc>
          <w:tcPr>
            <w:tcW w:w="0" w:type="auto"/>
            <w:vAlign w:val="center"/>
            <w:hideMark/>
          </w:tcPr>
          <w:p w14:paraId="514615CA"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Strength: integration of education and menu; Limitation: short-term</w:t>
            </w:r>
          </w:p>
        </w:tc>
      </w:tr>
      <w:tr w:rsidR="00091BDC" w:rsidRPr="00CD4BDB" w14:paraId="04D05E03" w14:textId="77777777">
        <w:trPr>
          <w:tblCellSpacing w:w="15" w:type="dxa"/>
        </w:trPr>
        <w:tc>
          <w:tcPr>
            <w:tcW w:w="0" w:type="auto"/>
            <w:vAlign w:val="center"/>
            <w:hideMark/>
          </w:tcPr>
          <w:p w14:paraId="1AC9C665"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Jones et al., 2023</w:t>
            </w:r>
          </w:p>
        </w:tc>
        <w:tc>
          <w:tcPr>
            <w:tcW w:w="0" w:type="auto"/>
            <w:vAlign w:val="center"/>
            <w:hideMark/>
          </w:tcPr>
          <w:p w14:paraId="49CCE00A"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Caribbean region</w:t>
            </w:r>
          </w:p>
        </w:tc>
        <w:tc>
          <w:tcPr>
            <w:tcW w:w="0" w:type="auto"/>
            <w:vAlign w:val="center"/>
            <w:hideMark/>
          </w:tcPr>
          <w:p w14:paraId="53BBC72F"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Policy/process evaluation</w:t>
            </w:r>
          </w:p>
        </w:tc>
        <w:tc>
          <w:tcPr>
            <w:tcW w:w="0" w:type="auto"/>
            <w:vAlign w:val="center"/>
            <w:hideMark/>
          </w:tcPr>
          <w:p w14:paraId="65D530F6"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Revised curriculum on NCD prevention</w:t>
            </w:r>
          </w:p>
        </w:tc>
        <w:tc>
          <w:tcPr>
            <w:tcW w:w="0" w:type="auto"/>
            <w:vAlign w:val="center"/>
            <w:hideMark/>
          </w:tcPr>
          <w:p w14:paraId="3EC433DF"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Enhanced curriculum integration; implementation challenges</w:t>
            </w:r>
          </w:p>
        </w:tc>
        <w:tc>
          <w:tcPr>
            <w:tcW w:w="0" w:type="auto"/>
            <w:vAlign w:val="center"/>
            <w:hideMark/>
          </w:tcPr>
          <w:p w14:paraId="0806B813"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Strength: policy relevance; Limitation: no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data</w:t>
            </w:r>
          </w:p>
        </w:tc>
      </w:tr>
    </w:tbl>
    <w:p w14:paraId="48B359E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i/>
          <w:iCs/>
          <w:kern w:val="0"/>
          <w:sz w:val="24"/>
          <w:szCs w:val="24"/>
          <w:lang w:eastAsia="en-ID"/>
          <w14:ligatures w14:val="none"/>
        </w:rPr>
        <w:t xml:space="preserve">This table synthesizes representative studies illustrating the effectiveness of classroom and experiential learning models in advancing children’s nutrition knowledge and healthy eating </w:t>
      </w:r>
      <w:proofErr w:type="spellStart"/>
      <w:r w:rsidRPr="00CD4BDB">
        <w:rPr>
          <w:rFonts w:ascii="Times New Roman" w:eastAsia="Times New Roman" w:hAnsi="Times New Roman" w:cs="Times New Roman"/>
          <w:i/>
          <w:iCs/>
          <w:kern w:val="0"/>
          <w:sz w:val="24"/>
          <w:szCs w:val="24"/>
          <w:lang w:eastAsia="en-ID"/>
          <w14:ligatures w14:val="none"/>
        </w:rPr>
        <w:t>behaviors</w:t>
      </w:r>
      <w:proofErr w:type="spellEnd"/>
      <w:r w:rsidRPr="00CD4BDB">
        <w:rPr>
          <w:rFonts w:ascii="Times New Roman" w:eastAsia="Times New Roman" w:hAnsi="Times New Roman" w:cs="Times New Roman"/>
          <w:i/>
          <w:iCs/>
          <w:kern w:val="0"/>
          <w:sz w:val="24"/>
          <w:szCs w:val="24"/>
          <w:lang w:eastAsia="en-ID"/>
          <w14:ligatures w14:val="none"/>
        </w:rPr>
        <w:t>.</w:t>
      </w:r>
    </w:p>
    <w:p w14:paraId="6D85C3A3" w14:textId="77777777" w:rsidR="00091BDC" w:rsidRPr="00CD4BDB" w:rsidRDefault="00091BDC" w:rsidP="00CD4BDB">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D"/>
          <w14:ligatures w14:val="none"/>
        </w:rPr>
      </w:pPr>
      <w:r w:rsidRPr="00CD4BDB">
        <w:rPr>
          <w:rFonts w:ascii="Times New Roman" w:eastAsia="Times New Roman" w:hAnsi="Times New Roman" w:cs="Times New Roman"/>
          <w:b/>
          <w:bCs/>
          <w:kern w:val="36"/>
          <w:sz w:val="24"/>
          <w:szCs w:val="24"/>
          <w:lang w:eastAsia="en-ID"/>
          <w14:ligatures w14:val="none"/>
        </w:rPr>
        <w:t>4.2 Meal Service Design &amp; Cafeteria Choice Architecture</w:t>
      </w:r>
    </w:p>
    <w:p w14:paraId="3FAF3223"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Evidence increasingly supports the effectiveness of </w:t>
      </w:r>
      <w:r w:rsidRPr="00CD4BDB">
        <w:rPr>
          <w:rFonts w:ascii="Times New Roman" w:eastAsia="Times New Roman" w:hAnsi="Times New Roman" w:cs="Times New Roman"/>
          <w:b/>
          <w:bCs/>
          <w:kern w:val="0"/>
          <w:sz w:val="24"/>
          <w:szCs w:val="24"/>
          <w:lang w:eastAsia="en-ID"/>
          <w14:ligatures w14:val="none"/>
        </w:rPr>
        <w:t>cafeteria-based nudges and service design modifications</w:t>
      </w:r>
      <w:r w:rsidRPr="00CD4BDB">
        <w:rPr>
          <w:rFonts w:ascii="Times New Roman" w:eastAsia="Times New Roman" w:hAnsi="Times New Roman" w:cs="Times New Roman"/>
          <w:kern w:val="0"/>
          <w:sz w:val="24"/>
          <w:szCs w:val="24"/>
          <w:lang w:eastAsia="en-ID"/>
          <w14:ligatures w14:val="none"/>
        </w:rPr>
        <w:t xml:space="preserve">—including portion adjustments, strategic food placement, and </w:t>
      </w:r>
      <w:proofErr w:type="spellStart"/>
      <w:r w:rsidRPr="00CD4BDB">
        <w:rPr>
          <w:rFonts w:ascii="Times New Roman" w:eastAsia="Times New Roman" w:hAnsi="Times New Roman" w:cs="Times New Roman"/>
          <w:kern w:val="0"/>
          <w:sz w:val="24"/>
          <w:szCs w:val="24"/>
          <w:lang w:eastAsia="en-ID"/>
          <w14:ligatures w14:val="none"/>
        </w:rPr>
        <w:t>labeling</w:t>
      </w:r>
      <w:proofErr w:type="spellEnd"/>
      <w:r w:rsidRPr="00CD4BDB">
        <w:rPr>
          <w:rFonts w:ascii="Times New Roman" w:eastAsia="Times New Roman" w:hAnsi="Times New Roman" w:cs="Times New Roman"/>
          <w:kern w:val="0"/>
          <w:sz w:val="24"/>
          <w:szCs w:val="24"/>
          <w:lang w:eastAsia="en-ID"/>
          <w14:ligatures w14:val="none"/>
        </w:rPr>
        <w:t xml:space="preserve">—in promoting healthier eating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among schoolchildren. These interventions are grounded in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economics principles, emphasizing subtle environmental cues to guide decision-making without restricting choice. Studies demonstrate that placing fruits and vegetables at the beginning of the cafeteria line or at eye level significantly increases their selection and consumption rates (Cohen et al., 2021). A systematic review of school meal interventions found that </w:t>
      </w:r>
      <w:proofErr w:type="spellStart"/>
      <w:r w:rsidRPr="00CD4BDB">
        <w:rPr>
          <w:rFonts w:ascii="Times New Roman" w:eastAsia="Times New Roman" w:hAnsi="Times New Roman" w:cs="Times New Roman"/>
          <w:b/>
          <w:bCs/>
          <w:kern w:val="0"/>
          <w:sz w:val="24"/>
          <w:szCs w:val="24"/>
          <w:lang w:eastAsia="en-ID"/>
          <w14:ligatures w14:val="none"/>
        </w:rPr>
        <w:t>labeling</w:t>
      </w:r>
      <w:proofErr w:type="spellEnd"/>
      <w:r w:rsidRPr="00CD4BDB">
        <w:rPr>
          <w:rFonts w:ascii="Times New Roman" w:eastAsia="Times New Roman" w:hAnsi="Times New Roman" w:cs="Times New Roman"/>
          <w:b/>
          <w:bCs/>
          <w:kern w:val="0"/>
          <w:sz w:val="24"/>
          <w:szCs w:val="24"/>
          <w:lang w:eastAsia="en-ID"/>
          <w14:ligatures w14:val="none"/>
        </w:rPr>
        <w:t xml:space="preserve"> healthy foods with appealing descriptors</w:t>
      </w:r>
      <w:r w:rsidRPr="00CD4BDB">
        <w:rPr>
          <w:rFonts w:ascii="Times New Roman" w:eastAsia="Times New Roman" w:hAnsi="Times New Roman" w:cs="Times New Roman"/>
          <w:kern w:val="0"/>
          <w:sz w:val="24"/>
          <w:szCs w:val="24"/>
          <w:lang w:eastAsia="en-ID"/>
          <w14:ligatures w14:val="none"/>
        </w:rPr>
        <w:t xml:space="preserve"> and </w:t>
      </w:r>
      <w:r w:rsidRPr="00CD4BDB">
        <w:rPr>
          <w:rFonts w:ascii="Times New Roman" w:eastAsia="Times New Roman" w:hAnsi="Times New Roman" w:cs="Times New Roman"/>
          <w:b/>
          <w:bCs/>
          <w:kern w:val="0"/>
          <w:sz w:val="24"/>
          <w:szCs w:val="24"/>
          <w:lang w:eastAsia="en-ID"/>
          <w14:ligatures w14:val="none"/>
        </w:rPr>
        <w:t>making them more visible and accessible</w:t>
      </w:r>
      <w:r w:rsidRPr="00CD4BDB">
        <w:rPr>
          <w:rFonts w:ascii="Times New Roman" w:eastAsia="Times New Roman" w:hAnsi="Times New Roman" w:cs="Times New Roman"/>
          <w:kern w:val="0"/>
          <w:sz w:val="24"/>
          <w:szCs w:val="24"/>
          <w:lang w:eastAsia="en-ID"/>
          <w14:ligatures w14:val="none"/>
        </w:rPr>
        <w:t xml:space="preserve"> led to measurable improvements in students’ food choices, confirming that small adjustments in presentation can shape dietary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(Cohen et al., 2021). Furthermore, offering </w:t>
      </w:r>
      <w:r w:rsidRPr="00CD4BDB">
        <w:rPr>
          <w:rFonts w:ascii="Times New Roman" w:eastAsia="Times New Roman" w:hAnsi="Times New Roman" w:cs="Times New Roman"/>
          <w:b/>
          <w:bCs/>
          <w:kern w:val="0"/>
          <w:sz w:val="24"/>
          <w:szCs w:val="24"/>
          <w:lang w:eastAsia="en-ID"/>
          <w14:ligatures w14:val="none"/>
        </w:rPr>
        <w:t>pre-sliced fruits</w:t>
      </w:r>
      <w:r w:rsidRPr="00CD4BDB">
        <w:rPr>
          <w:rFonts w:ascii="Times New Roman" w:eastAsia="Times New Roman" w:hAnsi="Times New Roman" w:cs="Times New Roman"/>
          <w:kern w:val="0"/>
          <w:sz w:val="24"/>
          <w:szCs w:val="24"/>
          <w:lang w:eastAsia="en-ID"/>
          <w14:ligatures w14:val="none"/>
        </w:rPr>
        <w:t xml:space="preserve"> and incorporating </w:t>
      </w:r>
      <w:r w:rsidRPr="00CD4BDB">
        <w:rPr>
          <w:rFonts w:ascii="Times New Roman" w:eastAsia="Times New Roman" w:hAnsi="Times New Roman" w:cs="Times New Roman"/>
          <w:b/>
          <w:bCs/>
          <w:kern w:val="0"/>
          <w:sz w:val="24"/>
          <w:szCs w:val="24"/>
          <w:lang w:eastAsia="en-ID"/>
          <w14:ligatures w14:val="none"/>
        </w:rPr>
        <w:t>interactive food experiences</w:t>
      </w:r>
      <w:r w:rsidRPr="00CD4BDB">
        <w:rPr>
          <w:rFonts w:ascii="Times New Roman" w:eastAsia="Times New Roman" w:hAnsi="Times New Roman" w:cs="Times New Roman"/>
          <w:kern w:val="0"/>
          <w:sz w:val="24"/>
          <w:szCs w:val="24"/>
          <w:lang w:eastAsia="en-ID"/>
          <w14:ligatures w14:val="none"/>
        </w:rPr>
        <w:t xml:space="preserve"> (e.g., salad bars and choice menus) enhances the attractiveness of nutritious options, increasing uptake and reducing waste (Cohen et al., 2021).</w:t>
      </w:r>
    </w:p>
    <w:p w14:paraId="3F232E2C" w14:textId="0747F4F1"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43AF366F"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Timing, Recess, and Meal Duration</w:t>
      </w:r>
    </w:p>
    <w:p w14:paraId="33C8221B"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w:t>
      </w:r>
      <w:r w:rsidRPr="00CD4BDB">
        <w:rPr>
          <w:rFonts w:ascii="Times New Roman" w:eastAsia="Times New Roman" w:hAnsi="Times New Roman" w:cs="Times New Roman"/>
          <w:b/>
          <w:bCs/>
          <w:kern w:val="0"/>
          <w:sz w:val="24"/>
          <w:szCs w:val="24"/>
          <w:lang w:eastAsia="en-ID"/>
          <w14:ligatures w14:val="none"/>
        </w:rPr>
        <w:t>timing of meals within the school schedule</w:t>
      </w:r>
      <w:r w:rsidRPr="00CD4BDB">
        <w:rPr>
          <w:rFonts w:ascii="Times New Roman" w:eastAsia="Times New Roman" w:hAnsi="Times New Roman" w:cs="Times New Roman"/>
          <w:kern w:val="0"/>
          <w:sz w:val="24"/>
          <w:szCs w:val="24"/>
          <w:lang w:eastAsia="en-ID"/>
          <w14:ligatures w14:val="none"/>
        </w:rPr>
        <w:t xml:space="preserve">—specifically the placement of recess and the duration allocated for eating—plays a pivotal role in determining both consumption and waste levels. Empirical findings suggest that when </w:t>
      </w:r>
      <w:r w:rsidRPr="00CD4BDB">
        <w:rPr>
          <w:rFonts w:ascii="Times New Roman" w:eastAsia="Times New Roman" w:hAnsi="Times New Roman" w:cs="Times New Roman"/>
          <w:b/>
          <w:bCs/>
          <w:kern w:val="0"/>
          <w:sz w:val="24"/>
          <w:szCs w:val="24"/>
          <w:lang w:eastAsia="en-ID"/>
          <w14:ligatures w14:val="none"/>
        </w:rPr>
        <w:t>recess occurs before lunch</w:t>
      </w:r>
      <w:r w:rsidRPr="00CD4BDB">
        <w:rPr>
          <w:rFonts w:ascii="Times New Roman" w:eastAsia="Times New Roman" w:hAnsi="Times New Roman" w:cs="Times New Roman"/>
          <w:kern w:val="0"/>
          <w:sz w:val="24"/>
          <w:szCs w:val="24"/>
          <w:lang w:eastAsia="en-ID"/>
          <w14:ligatures w14:val="none"/>
        </w:rPr>
        <w:t xml:space="preserve">, children approach their meals with greater appetite, leading to increased consumption and reduced plate waste (Cohen et al., 2021). Conversely, shorter meal periods contribute to rushed eating and lower intake of healthy items. Studies indicate that </w:t>
      </w:r>
      <w:r w:rsidRPr="00CD4BDB">
        <w:rPr>
          <w:rFonts w:ascii="Times New Roman" w:eastAsia="Times New Roman" w:hAnsi="Times New Roman" w:cs="Times New Roman"/>
          <w:b/>
          <w:bCs/>
          <w:kern w:val="0"/>
          <w:sz w:val="24"/>
          <w:szCs w:val="24"/>
          <w:lang w:eastAsia="en-ID"/>
          <w14:ligatures w14:val="none"/>
        </w:rPr>
        <w:t>extending lunch durations to approximately 30 minutes</w:t>
      </w:r>
      <w:r w:rsidRPr="00CD4BDB">
        <w:rPr>
          <w:rFonts w:ascii="Times New Roman" w:eastAsia="Times New Roman" w:hAnsi="Times New Roman" w:cs="Times New Roman"/>
          <w:kern w:val="0"/>
          <w:sz w:val="24"/>
          <w:szCs w:val="24"/>
          <w:lang w:eastAsia="en-ID"/>
          <w14:ligatures w14:val="none"/>
        </w:rPr>
        <w:t xml:space="preserve"> allows students adequate time to eat and enjoy their meals, significantly improving overall dietary quality and satisfaction while minimizing leftovers (Rector et al., 2021). The strategic structuring of mealtime logistics thus contributes to optimizing food utilization and reinforcing healthy eating habits.</w:t>
      </w:r>
    </w:p>
    <w:p w14:paraId="1FD14139" w14:textId="6E8C8296"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39BFF243"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Operational and Environmental Factors</w:t>
      </w:r>
    </w:p>
    <w:p w14:paraId="13BDC3EB"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Operational and physical aspects of cafeteria environments profoundly shape eating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and waste outcomes. Research indicates that </w:t>
      </w:r>
      <w:r w:rsidRPr="00CD4BDB">
        <w:rPr>
          <w:rFonts w:ascii="Times New Roman" w:eastAsia="Times New Roman" w:hAnsi="Times New Roman" w:cs="Times New Roman"/>
          <w:b/>
          <w:bCs/>
          <w:kern w:val="0"/>
          <w:sz w:val="24"/>
          <w:szCs w:val="24"/>
          <w:lang w:eastAsia="en-ID"/>
          <w14:ligatures w14:val="none"/>
        </w:rPr>
        <w:t>food accessibility, placement, and presentation aesthetics</w:t>
      </w:r>
      <w:r w:rsidRPr="00CD4BDB">
        <w:rPr>
          <w:rFonts w:ascii="Times New Roman" w:eastAsia="Times New Roman" w:hAnsi="Times New Roman" w:cs="Times New Roman"/>
          <w:kern w:val="0"/>
          <w:sz w:val="24"/>
          <w:szCs w:val="24"/>
          <w:lang w:eastAsia="en-ID"/>
          <w14:ligatures w14:val="none"/>
        </w:rPr>
        <w:t xml:space="preserve"> are key determinants of student choice and consumption (França et al., 2024). Healthier foods placed in prominent or visually appealing positions—such as at the front of the serving line or at eye level—tend to be selected more frequently, contributing to better dietary balance and reduced waste. Additionally, factors like </w:t>
      </w:r>
      <w:r w:rsidRPr="00CD4BDB">
        <w:rPr>
          <w:rFonts w:ascii="Times New Roman" w:eastAsia="Times New Roman" w:hAnsi="Times New Roman" w:cs="Times New Roman"/>
          <w:b/>
          <w:bCs/>
          <w:kern w:val="0"/>
          <w:sz w:val="24"/>
          <w:szCs w:val="24"/>
          <w:lang w:eastAsia="en-ID"/>
          <w14:ligatures w14:val="none"/>
        </w:rPr>
        <w:t>noise levels</w:t>
      </w:r>
      <w:r w:rsidRPr="00CD4BDB">
        <w:rPr>
          <w:rFonts w:ascii="Times New Roman" w:eastAsia="Times New Roman" w:hAnsi="Times New Roman" w:cs="Times New Roman"/>
          <w:kern w:val="0"/>
          <w:sz w:val="24"/>
          <w:szCs w:val="24"/>
          <w:lang w:eastAsia="en-ID"/>
          <w14:ligatures w14:val="none"/>
        </w:rPr>
        <w:t xml:space="preserve">, </w:t>
      </w:r>
      <w:r w:rsidRPr="00CD4BDB">
        <w:rPr>
          <w:rFonts w:ascii="Times New Roman" w:eastAsia="Times New Roman" w:hAnsi="Times New Roman" w:cs="Times New Roman"/>
          <w:b/>
          <w:bCs/>
          <w:kern w:val="0"/>
          <w:sz w:val="24"/>
          <w:szCs w:val="24"/>
          <w:lang w:eastAsia="en-ID"/>
          <w14:ligatures w14:val="none"/>
        </w:rPr>
        <w:t>seating comfort</w:t>
      </w:r>
      <w:r w:rsidRPr="00CD4BDB">
        <w:rPr>
          <w:rFonts w:ascii="Times New Roman" w:eastAsia="Times New Roman" w:hAnsi="Times New Roman" w:cs="Times New Roman"/>
          <w:kern w:val="0"/>
          <w:sz w:val="24"/>
          <w:szCs w:val="24"/>
          <w:lang w:eastAsia="en-ID"/>
          <w14:ligatures w14:val="none"/>
        </w:rPr>
        <w:t xml:space="preserve">, and </w:t>
      </w:r>
      <w:r w:rsidRPr="00CD4BDB">
        <w:rPr>
          <w:rFonts w:ascii="Times New Roman" w:eastAsia="Times New Roman" w:hAnsi="Times New Roman" w:cs="Times New Roman"/>
          <w:b/>
          <w:bCs/>
          <w:kern w:val="0"/>
          <w:sz w:val="24"/>
          <w:szCs w:val="24"/>
          <w:lang w:eastAsia="en-ID"/>
          <w14:ligatures w14:val="none"/>
        </w:rPr>
        <w:t>crowding</w:t>
      </w:r>
      <w:r w:rsidRPr="00CD4BDB">
        <w:rPr>
          <w:rFonts w:ascii="Times New Roman" w:eastAsia="Times New Roman" w:hAnsi="Times New Roman" w:cs="Times New Roman"/>
          <w:kern w:val="0"/>
          <w:sz w:val="24"/>
          <w:szCs w:val="24"/>
          <w:lang w:eastAsia="en-ID"/>
          <w14:ligatures w14:val="none"/>
        </w:rPr>
        <w:t xml:space="preserve"> influence the dining experience, affecting both consumption and meal satisfaction (Nakagiri et al., 2024). Qualitative insights reveal that </w:t>
      </w:r>
      <w:r w:rsidRPr="00CD4BDB">
        <w:rPr>
          <w:rFonts w:ascii="Times New Roman" w:eastAsia="Times New Roman" w:hAnsi="Times New Roman" w:cs="Times New Roman"/>
          <w:b/>
          <w:bCs/>
          <w:kern w:val="0"/>
          <w:sz w:val="24"/>
          <w:szCs w:val="24"/>
          <w:lang w:eastAsia="en-ID"/>
          <w14:ligatures w14:val="none"/>
        </w:rPr>
        <w:t>competition from external food vendors</w:t>
      </w:r>
      <w:r w:rsidRPr="00CD4BDB">
        <w:rPr>
          <w:rFonts w:ascii="Times New Roman" w:eastAsia="Times New Roman" w:hAnsi="Times New Roman" w:cs="Times New Roman"/>
          <w:kern w:val="0"/>
          <w:sz w:val="24"/>
          <w:szCs w:val="24"/>
          <w:lang w:eastAsia="en-ID"/>
          <w14:ligatures w14:val="none"/>
        </w:rPr>
        <w:t xml:space="preserve"> and perceptions regarding </w:t>
      </w:r>
      <w:r w:rsidRPr="00CD4BDB">
        <w:rPr>
          <w:rFonts w:ascii="Times New Roman" w:eastAsia="Times New Roman" w:hAnsi="Times New Roman" w:cs="Times New Roman"/>
          <w:b/>
          <w:bCs/>
          <w:kern w:val="0"/>
          <w:sz w:val="24"/>
          <w:szCs w:val="24"/>
          <w:lang w:eastAsia="en-ID"/>
          <w14:ligatures w14:val="none"/>
        </w:rPr>
        <w:t>meal quality and freshness</w:t>
      </w:r>
      <w:r w:rsidRPr="00CD4BDB">
        <w:rPr>
          <w:rFonts w:ascii="Times New Roman" w:eastAsia="Times New Roman" w:hAnsi="Times New Roman" w:cs="Times New Roman"/>
          <w:kern w:val="0"/>
          <w:sz w:val="24"/>
          <w:szCs w:val="24"/>
          <w:lang w:eastAsia="en-ID"/>
          <w14:ligatures w14:val="none"/>
        </w:rPr>
        <w:t xml:space="preserve"> also influence participation in school meal programs, sometimes diverting students toward less nutritious alternatives (Heim et al., 2022). Addressing these operational challenges requires coordinated policy and environmental strategies to ensure that school cafeterias remain attractive, functional, and conducive to healthy eating.</w:t>
      </w:r>
    </w:p>
    <w:p w14:paraId="7211BE19" w14:textId="1F7AA7CF"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2DB6B9F9"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Interaction Between Service Design and Educational Efforts</w:t>
      </w:r>
    </w:p>
    <w:p w14:paraId="560946B8"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effectiveness of service design strategies is amplified when integrated with </w:t>
      </w:r>
      <w:r w:rsidRPr="00CD4BDB">
        <w:rPr>
          <w:rFonts w:ascii="Times New Roman" w:eastAsia="Times New Roman" w:hAnsi="Times New Roman" w:cs="Times New Roman"/>
          <w:b/>
          <w:bCs/>
          <w:kern w:val="0"/>
          <w:sz w:val="24"/>
          <w:szCs w:val="24"/>
          <w:lang w:eastAsia="en-ID"/>
          <w14:ligatures w14:val="none"/>
        </w:rPr>
        <w:t>educational interventions</w:t>
      </w:r>
      <w:r w:rsidRPr="00CD4BDB">
        <w:rPr>
          <w:rFonts w:ascii="Times New Roman" w:eastAsia="Times New Roman" w:hAnsi="Times New Roman" w:cs="Times New Roman"/>
          <w:kern w:val="0"/>
          <w:sz w:val="24"/>
          <w:szCs w:val="24"/>
          <w:lang w:eastAsia="en-ID"/>
          <w14:ligatures w14:val="none"/>
        </w:rPr>
        <w:t xml:space="preserve">. Educational initiatives alone can raise awareness but are most impactful when complemented by a supportive food environment that reinforces learned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(Laitinen et al., 2022). For instance, pairing nutrition education with cafeteria interventions—such as improved menu presentation, adjusted portion sizes, and positive reinforcement from teachers—creates a </w:t>
      </w:r>
      <w:r w:rsidRPr="00CD4BDB">
        <w:rPr>
          <w:rFonts w:ascii="Times New Roman" w:eastAsia="Times New Roman" w:hAnsi="Times New Roman" w:cs="Times New Roman"/>
          <w:b/>
          <w:bCs/>
          <w:kern w:val="0"/>
          <w:sz w:val="24"/>
          <w:szCs w:val="24"/>
          <w:lang w:eastAsia="en-ID"/>
          <w14:ligatures w14:val="none"/>
        </w:rPr>
        <w:t>synergistic effect</w:t>
      </w:r>
      <w:r w:rsidRPr="00CD4BDB">
        <w:rPr>
          <w:rFonts w:ascii="Times New Roman" w:eastAsia="Times New Roman" w:hAnsi="Times New Roman" w:cs="Times New Roman"/>
          <w:kern w:val="0"/>
          <w:sz w:val="24"/>
          <w:szCs w:val="24"/>
          <w:lang w:eastAsia="en-ID"/>
          <w14:ligatures w14:val="none"/>
        </w:rPr>
        <w:t xml:space="preserve"> that strengthens students’ motivation to choose healthier foods. Combining experiential learning (e.g., gardening, cooking classes) with practical exposure during meal times encourages the internalization of nutritional concepts and transforms knowledge into consistent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 xml:space="preserve"> (</w:t>
      </w:r>
      <w:proofErr w:type="spellStart"/>
      <w:r w:rsidRPr="00CD4BDB">
        <w:rPr>
          <w:rFonts w:ascii="Times New Roman" w:eastAsia="Times New Roman" w:hAnsi="Times New Roman" w:cs="Times New Roman"/>
          <w:kern w:val="0"/>
          <w:sz w:val="24"/>
          <w:szCs w:val="24"/>
          <w:lang w:eastAsia="en-ID"/>
          <w14:ligatures w14:val="none"/>
        </w:rPr>
        <w:t>Rimbawan</w:t>
      </w:r>
      <w:proofErr w:type="spellEnd"/>
      <w:r w:rsidRPr="00CD4BDB">
        <w:rPr>
          <w:rFonts w:ascii="Times New Roman" w:eastAsia="Times New Roman" w:hAnsi="Times New Roman" w:cs="Times New Roman"/>
          <w:kern w:val="0"/>
          <w:sz w:val="24"/>
          <w:szCs w:val="24"/>
          <w:lang w:eastAsia="en-ID"/>
          <w14:ligatures w14:val="none"/>
        </w:rPr>
        <w:t xml:space="preserve"> et al., 2023). These integrated strategies demonstrate that </w:t>
      </w:r>
      <w:r w:rsidRPr="00CD4BDB">
        <w:rPr>
          <w:rFonts w:ascii="Times New Roman" w:eastAsia="Times New Roman" w:hAnsi="Times New Roman" w:cs="Times New Roman"/>
          <w:b/>
          <w:bCs/>
          <w:kern w:val="0"/>
          <w:sz w:val="24"/>
          <w:szCs w:val="24"/>
          <w:lang w:eastAsia="en-ID"/>
          <w14:ligatures w14:val="none"/>
        </w:rPr>
        <w:t>education and environment must operate in tandem</w:t>
      </w:r>
      <w:r w:rsidRPr="00CD4BDB">
        <w:rPr>
          <w:rFonts w:ascii="Times New Roman" w:eastAsia="Times New Roman" w:hAnsi="Times New Roman" w:cs="Times New Roman"/>
          <w:kern w:val="0"/>
          <w:sz w:val="24"/>
          <w:szCs w:val="24"/>
          <w:lang w:eastAsia="en-ID"/>
          <w14:ligatures w14:val="none"/>
        </w:rPr>
        <w:t xml:space="preserve"> to generate meaningful and sustainable shifts in dietary </w:t>
      </w:r>
      <w:proofErr w:type="spellStart"/>
      <w:r w:rsidRPr="00CD4BDB">
        <w:rPr>
          <w:rFonts w:ascii="Times New Roman" w:eastAsia="Times New Roman" w:hAnsi="Times New Roman" w:cs="Times New Roman"/>
          <w:kern w:val="0"/>
          <w:sz w:val="24"/>
          <w:szCs w:val="24"/>
          <w:lang w:eastAsia="en-ID"/>
          <w14:ligatures w14:val="none"/>
        </w:rPr>
        <w:t>behavior</w:t>
      </w:r>
      <w:proofErr w:type="spellEnd"/>
      <w:r w:rsidRPr="00CD4BDB">
        <w:rPr>
          <w:rFonts w:ascii="Times New Roman" w:eastAsia="Times New Roman" w:hAnsi="Times New Roman" w:cs="Times New Roman"/>
          <w:kern w:val="0"/>
          <w:sz w:val="24"/>
          <w:szCs w:val="24"/>
          <w:lang w:eastAsia="en-ID"/>
          <w14:ligatures w14:val="none"/>
        </w:rPr>
        <w:t>.</w:t>
      </w:r>
    </w:p>
    <w:p w14:paraId="3CEAE2B3" w14:textId="3F8478A8"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1A07CF69"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lastRenderedPageBreak/>
        <w:t>Synthesis and Implications</w:t>
      </w:r>
    </w:p>
    <w:p w14:paraId="38ACB594"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Collectively, evidence underscores that </w:t>
      </w:r>
      <w:r w:rsidRPr="00CD4BDB">
        <w:rPr>
          <w:rFonts w:ascii="Times New Roman" w:eastAsia="Times New Roman" w:hAnsi="Times New Roman" w:cs="Times New Roman"/>
          <w:b/>
          <w:bCs/>
          <w:kern w:val="0"/>
          <w:sz w:val="24"/>
          <w:szCs w:val="24"/>
          <w:lang w:eastAsia="en-ID"/>
          <w14:ligatures w14:val="none"/>
        </w:rPr>
        <w:t>service design, timing, and environmental context</w:t>
      </w:r>
      <w:r w:rsidRPr="00CD4BDB">
        <w:rPr>
          <w:rFonts w:ascii="Times New Roman" w:eastAsia="Times New Roman" w:hAnsi="Times New Roman" w:cs="Times New Roman"/>
          <w:kern w:val="0"/>
          <w:sz w:val="24"/>
          <w:szCs w:val="24"/>
          <w:lang w:eastAsia="en-ID"/>
          <w14:ligatures w14:val="none"/>
        </w:rPr>
        <w:t xml:space="preserve"> are central to optimizing the nutritional impact of school meal programs.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nudges—when systematically implemented within well-managed cafeterias—offer a cost-effective and scalable means of influencing dietary habits. Moreover, aligning these operational strategies with curricular nutrition education creates a </w:t>
      </w:r>
      <w:r w:rsidRPr="00CD4BDB">
        <w:rPr>
          <w:rFonts w:ascii="Times New Roman" w:eastAsia="Times New Roman" w:hAnsi="Times New Roman" w:cs="Times New Roman"/>
          <w:b/>
          <w:bCs/>
          <w:kern w:val="0"/>
          <w:sz w:val="24"/>
          <w:szCs w:val="24"/>
          <w:lang w:eastAsia="en-ID"/>
          <w14:ligatures w14:val="none"/>
        </w:rPr>
        <w:t>holistic systems approach</w:t>
      </w:r>
      <w:r w:rsidRPr="00CD4BDB">
        <w:rPr>
          <w:rFonts w:ascii="Times New Roman" w:eastAsia="Times New Roman" w:hAnsi="Times New Roman" w:cs="Times New Roman"/>
          <w:kern w:val="0"/>
          <w:sz w:val="24"/>
          <w:szCs w:val="24"/>
          <w:lang w:eastAsia="en-ID"/>
          <w14:ligatures w14:val="none"/>
        </w:rPr>
        <w:t xml:space="preserve">, bridging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science and pedagogical practice. Policymakers and school administrators are thus encouraged to adopt cafeteria design frameworks that not only promote healthier choices but also complement ongoing education initiatives, ensuring consistent reinforcement of healthy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across learning and eating spaces.</w:t>
      </w:r>
    </w:p>
    <w:p w14:paraId="54BEBEB7" w14:textId="5815914F"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34A7450D"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Table 2. Meal Service Design &amp; Cafeteria Choice Architecture Studies (Theme 4.2)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3"/>
        <w:gridCol w:w="1738"/>
        <w:gridCol w:w="2064"/>
        <w:gridCol w:w="1657"/>
        <w:gridCol w:w="1484"/>
      </w:tblGrid>
      <w:tr w:rsidR="00091BDC" w:rsidRPr="00CD4BDB" w14:paraId="082FB72A" w14:textId="77777777">
        <w:trPr>
          <w:tblHeader/>
          <w:tblCellSpacing w:w="15" w:type="dxa"/>
        </w:trPr>
        <w:tc>
          <w:tcPr>
            <w:tcW w:w="0" w:type="auto"/>
            <w:vAlign w:val="center"/>
            <w:hideMark/>
          </w:tcPr>
          <w:p w14:paraId="1010E402"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Author/Year</w:t>
            </w:r>
          </w:p>
        </w:tc>
        <w:tc>
          <w:tcPr>
            <w:tcW w:w="0" w:type="auto"/>
            <w:vAlign w:val="center"/>
            <w:hideMark/>
          </w:tcPr>
          <w:p w14:paraId="7307E3DC"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Geographical Scope</w:t>
            </w:r>
          </w:p>
        </w:tc>
        <w:tc>
          <w:tcPr>
            <w:tcW w:w="0" w:type="auto"/>
            <w:vAlign w:val="center"/>
            <w:hideMark/>
          </w:tcPr>
          <w:p w14:paraId="10BD6589"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Analytical Framework/Design</w:t>
            </w:r>
          </w:p>
        </w:tc>
        <w:tc>
          <w:tcPr>
            <w:tcW w:w="0" w:type="auto"/>
            <w:vAlign w:val="center"/>
            <w:hideMark/>
          </w:tcPr>
          <w:p w14:paraId="4CED00ED"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Results (Selection, Consumption, Waste)</w:t>
            </w:r>
          </w:p>
        </w:tc>
        <w:tc>
          <w:tcPr>
            <w:tcW w:w="0" w:type="auto"/>
            <w:vAlign w:val="center"/>
            <w:hideMark/>
          </w:tcPr>
          <w:p w14:paraId="3B495ADD"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Implications</w:t>
            </w:r>
          </w:p>
        </w:tc>
      </w:tr>
      <w:tr w:rsidR="00091BDC" w:rsidRPr="00CD4BDB" w14:paraId="19FC1408" w14:textId="77777777">
        <w:trPr>
          <w:tblCellSpacing w:w="15" w:type="dxa"/>
        </w:trPr>
        <w:tc>
          <w:tcPr>
            <w:tcW w:w="0" w:type="auto"/>
            <w:vAlign w:val="center"/>
            <w:hideMark/>
          </w:tcPr>
          <w:p w14:paraId="299288CC"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Systematic Review (PROSPERO CRD42021244688), 2021</w:t>
            </w:r>
          </w:p>
        </w:tc>
        <w:tc>
          <w:tcPr>
            <w:tcW w:w="0" w:type="auto"/>
            <w:vAlign w:val="center"/>
            <w:hideMark/>
          </w:tcPr>
          <w:p w14:paraId="7596B8F9"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USA (national/district)</w:t>
            </w:r>
          </w:p>
        </w:tc>
        <w:tc>
          <w:tcPr>
            <w:tcW w:w="0" w:type="auto"/>
            <w:vAlign w:val="center"/>
            <w:hideMark/>
          </w:tcPr>
          <w:p w14:paraId="32431182"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Review of choice architecture interventions</w:t>
            </w:r>
          </w:p>
        </w:tc>
        <w:tc>
          <w:tcPr>
            <w:tcW w:w="0" w:type="auto"/>
            <w:vAlign w:val="center"/>
            <w:hideMark/>
          </w:tcPr>
          <w:p w14:paraId="5203752D"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Nudges and </w:t>
            </w:r>
            <w:proofErr w:type="spellStart"/>
            <w:r w:rsidRPr="00CD4BDB">
              <w:rPr>
                <w:rFonts w:ascii="Times New Roman" w:eastAsia="Times New Roman" w:hAnsi="Times New Roman" w:cs="Times New Roman"/>
                <w:kern w:val="0"/>
                <w:sz w:val="24"/>
                <w:szCs w:val="24"/>
                <w:lang w:eastAsia="en-ID"/>
                <w14:ligatures w14:val="none"/>
              </w:rPr>
              <w:t>labeling</w:t>
            </w:r>
            <w:proofErr w:type="spellEnd"/>
            <w:r w:rsidRPr="00CD4BDB">
              <w:rPr>
                <w:rFonts w:ascii="Times New Roman" w:eastAsia="Times New Roman" w:hAnsi="Times New Roman" w:cs="Times New Roman"/>
                <w:kern w:val="0"/>
                <w:sz w:val="24"/>
                <w:szCs w:val="24"/>
                <w:lang w:eastAsia="en-ID"/>
                <w14:ligatures w14:val="none"/>
              </w:rPr>
              <w:t xml:space="preserve"> improved selection; no consistent effect on consumption; post-HHFKA standards increased meal intake</w:t>
            </w:r>
          </w:p>
        </w:tc>
        <w:tc>
          <w:tcPr>
            <w:tcW w:w="0" w:type="auto"/>
            <w:vAlign w:val="center"/>
            <w:hideMark/>
          </w:tcPr>
          <w:p w14:paraId="69B32E17"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Combine </w:t>
            </w:r>
            <w:proofErr w:type="spellStart"/>
            <w:r w:rsidRPr="00CD4BDB">
              <w:rPr>
                <w:rFonts w:ascii="Times New Roman" w:eastAsia="Times New Roman" w:hAnsi="Times New Roman" w:cs="Times New Roman"/>
                <w:kern w:val="0"/>
                <w:sz w:val="24"/>
                <w:szCs w:val="24"/>
                <w:lang w:eastAsia="en-ID"/>
                <w14:ligatures w14:val="none"/>
              </w:rPr>
              <w:t>labeling</w:t>
            </w:r>
            <w:proofErr w:type="spellEnd"/>
            <w:r w:rsidRPr="00CD4BDB">
              <w:rPr>
                <w:rFonts w:ascii="Times New Roman" w:eastAsia="Times New Roman" w:hAnsi="Times New Roman" w:cs="Times New Roman"/>
                <w:kern w:val="0"/>
                <w:sz w:val="24"/>
                <w:szCs w:val="24"/>
                <w:lang w:eastAsia="en-ID"/>
                <w14:ligatures w14:val="none"/>
              </w:rPr>
              <w:t xml:space="preserve"> and accessibility with menu reform; measure both selection and intake</w:t>
            </w:r>
          </w:p>
        </w:tc>
      </w:tr>
      <w:tr w:rsidR="00091BDC" w:rsidRPr="00CD4BDB" w14:paraId="52121DED" w14:textId="77777777">
        <w:trPr>
          <w:tblCellSpacing w:w="15" w:type="dxa"/>
        </w:trPr>
        <w:tc>
          <w:tcPr>
            <w:tcW w:w="0" w:type="auto"/>
            <w:vAlign w:val="center"/>
            <w:hideMark/>
          </w:tcPr>
          <w:p w14:paraId="76992B0E"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roofErr w:type="spellStart"/>
            <w:r w:rsidRPr="00CD4BDB">
              <w:rPr>
                <w:rFonts w:ascii="Times New Roman" w:eastAsia="Times New Roman" w:hAnsi="Times New Roman" w:cs="Times New Roman"/>
                <w:kern w:val="0"/>
                <w:sz w:val="24"/>
                <w:szCs w:val="24"/>
                <w:lang w:eastAsia="en-ID"/>
                <w14:ligatures w14:val="none"/>
              </w:rPr>
              <w:t>Chawner</w:t>
            </w:r>
            <w:proofErr w:type="spellEnd"/>
            <w:r w:rsidRPr="00CD4BDB">
              <w:rPr>
                <w:rFonts w:ascii="Times New Roman" w:eastAsia="Times New Roman" w:hAnsi="Times New Roman" w:cs="Times New Roman"/>
                <w:kern w:val="0"/>
                <w:sz w:val="24"/>
                <w:szCs w:val="24"/>
                <w:lang w:eastAsia="en-ID"/>
                <w14:ligatures w14:val="none"/>
              </w:rPr>
              <w:t xml:space="preserve"> et al., 2024</w:t>
            </w:r>
          </w:p>
        </w:tc>
        <w:tc>
          <w:tcPr>
            <w:tcW w:w="0" w:type="auto"/>
            <w:vAlign w:val="center"/>
            <w:hideMark/>
          </w:tcPr>
          <w:p w14:paraId="6D15A21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UK preschools</w:t>
            </w:r>
          </w:p>
        </w:tc>
        <w:tc>
          <w:tcPr>
            <w:tcW w:w="0" w:type="auto"/>
            <w:vAlign w:val="center"/>
            <w:hideMark/>
          </w:tcPr>
          <w:p w14:paraId="71F8E6E8"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Experimental (vegetables-first)</w:t>
            </w:r>
          </w:p>
        </w:tc>
        <w:tc>
          <w:tcPr>
            <w:tcW w:w="0" w:type="auto"/>
            <w:vAlign w:val="center"/>
            <w:hideMark/>
          </w:tcPr>
          <w:p w14:paraId="74BF5148"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Increased vegetable intake (~12 g); high acceptability</w:t>
            </w:r>
          </w:p>
        </w:tc>
        <w:tc>
          <w:tcPr>
            <w:tcW w:w="0" w:type="auto"/>
            <w:vAlign w:val="center"/>
            <w:hideMark/>
          </w:tcPr>
          <w:p w14:paraId="6A9E32DC"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Low-cost intervention; recommend school co-design for sustainability</w:t>
            </w:r>
          </w:p>
        </w:tc>
      </w:tr>
      <w:tr w:rsidR="00091BDC" w:rsidRPr="00CD4BDB" w14:paraId="39686BBA" w14:textId="77777777">
        <w:trPr>
          <w:tblCellSpacing w:w="15" w:type="dxa"/>
        </w:trPr>
        <w:tc>
          <w:tcPr>
            <w:tcW w:w="0" w:type="auto"/>
            <w:vAlign w:val="center"/>
            <w:hideMark/>
          </w:tcPr>
          <w:p w14:paraId="1C12FE8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França et al., 2024</w:t>
            </w:r>
          </w:p>
        </w:tc>
        <w:tc>
          <w:tcPr>
            <w:tcW w:w="0" w:type="auto"/>
            <w:vAlign w:val="center"/>
            <w:hideMark/>
          </w:tcPr>
          <w:p w14:paraId="1FBBCE20"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Brazil (Bahia)</w:t>
            </w:r>
          </w:p>
        </w:tc>
        <w:tc>
          <w:tcPr>
            <w:tcW w:w="0" w:type="auto"/>
            <w:vAlign w:val="center"/>
            <w:hideMark/>
          </w:tcPr>
          <w:p w14:paraId="02DF5AE0"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Observational cafeteria mapping</w:t>
            </w:r>
          </w:p>
        </w:tc>
        <w:tc>
          <w:tcPr>
            <w:tcW w:w="0" w:type="auto"/>
            <w:vAlign w:val="center"/>
            <w:hideMark/>
          </w:tcPr>
          <w:p w14:paraId="4DADEE29"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Healthier options positioned prominently reduced waste; environmental context shaped selection</w:t>
            </w:r>
          </w:p>
        </w:tc>
        <w:tc>
          <w:tcPr>
            <w:tcW w:w="0" w:type="auto"/>
            <w:vAlign w:val="center"/>
            <w:hideMark/>
          </w:tcPr>
          <w:p w14:paraId="249669E0"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Align cafeteria design with local food environments</w:t>
            </w:r>
          </w:p>
        </w:tc>
      </w:tr>
      <w:tr w:rsidR="00091BDC" w:rsidRPr="00CD4BDB" w14:paraId="4D2E4CB1" w14:textId="77777777">
        <w:trPr>
          <w:tblCellSpacing w:w="15" w:type="dxa"/>
        </w:trPr>
        <w:tc>
          <w:tcPr>
            <w:tcW w:w="0" w:type="auto"/>
            <w:vAlign w:val="center"/>
            <w:hideMark/>
          </w:tcPr>
          <w:p w14:paraId="75F97EA2"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Nakagiri et al., 2024</w:t>
            </w:r>
          </w:p>
        </w:tc>
        <w:tc>
          <w:tcPr>
            <w:tcW w:w="0" w:type="auto"/>
            <w:vAlign w:val="center"/>
            <w:hideMark/>
          </w:tcPr>
          <w:p w14:paraId="7F7BF24D"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Japan</w:t>
            </w:r>
          </w:p>
        </w:tc>
        <w:tc>
          <w:tcPr>
            <w:tcW w:w="0" w:type="auto"/>
            <w:vAlign w:val="center"/>
            <w:hideMark/>
          </w:tcPr>
          <w:p w14:paraId="510B7214"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Quantitative observational</w:t>
            </w:r>
          </w:p>
        </w:tc>
        <w:tc>
          <w:tcPr>
            <w:tcW w:w="0" w:type="auto"/>
            <w:vAlign w:val="center"/>
            <w:hideMark/>
          </w:tcPr>
          <w:p w14:paraId="3F2437B7"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Cafeteria noise, time-to-eat, and class size affected meal </w:t>
            </w:r>
            <w:r w:rsidRPr="00CD4BDB">
              <w:rPr>
                <w:rFonts w:ascii="Times New Roman" w:eastAsia="Times New Roman" w:hAnsi="Times New Roman" w:cs="Times New Roman"/>
                <w:kern w:val="0"/>
                <w:sz w:val="24"/>
                <w:szCs w:val="24"/>
                <w:lang w:eastAsia="en-ID"/>
                <w14:ligatures w14:val="none"/>
              </w:rPr>
              <w:lastRenderedPageBreak/>
              <w:t>satisfaction and leftovers</w:t>
            </w:r>
          </w:p>
        </w:tc>
        <w:tc>
          <w:tcPr>
            <w:tcW w:w="0" w:type="auto"/>
            <w:vAlign w:val="center"/>
            <w:hideMark/>
          </w:tcPr>
          <w:p w14:paraId="6B7A4823"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lastRenderedPageBreak/>
              <w:t xml:space="preserve">Adjust scheduling and infrastructure to improve </w:t>
            </w:r>
            <w:r w:rsidRPr="00CD4BDB">
              <w:rPr>
                <w:rFonts w:ascii="Times New Roman" w:eastAsia="Times New Roman" w:hAnsi="Times New Roman" w:cs="Times New Roman"/>
                <w:kern w:val="0"/>
                <w:sz w:val="24"/>
                <w:szCs w:val="24"/>
                <w:lang w:eastAsia="en-ID"/>
                <w14:ligatures w14:val="none"/>
              </w:rPr>
              <w:lastRenderedPageBreak/>
              <w:t>eating experience</w:t>
            </w:r>
          </w:p>
        </w:tc>
      </w:tr>
      <w:tr w:rsidR="00091BDC" w:rsidRPr="00CD4BDB" w14:paraId="2718920B" w14:textId="77777777">
        <w:trPr>
          <w:tblCellSpacing w:w="15" w:type="dxa"/>
        </w:trPr>
        <w:tc>
          <w:tcPr>
            <w:tcW w:w="0" w:type="auto"/>
            <w:vAlign w:val="center"/>
            <w:hideMark/>
          </w:tcPr>
          <w:p w14:paraId="04410463"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lastRenderedPageBreak/>
              <w:t>Heim et al., 2022</w:t>
            </w:r>
          </w:p>
        </w:tc>
        <w:tc>
          <w:tcPr>
            <w:tcW w:w="0" w:type="auto"/>
            <w:vAlign w:val="center"/>
            <w:hideMark/>
          </w:tcPr>
          <w:p w14:paraId="4D51F486"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Multi-country qualitative</w:t>
            </w:r>
          </w:p>
        </w:tc>
        <w:tc>
          <w:tcPr>
            <w:tcW w:w="0" w:type="auto"/>
            <w:vAlign w:val="center"/>
            <w:hideMark/>
          </w:tcPr>
          <w:p w14:paraId="5C1E991C"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Interviews and focus groups</w:t>
            </w:r>
          </w:p>
        </w:tc>
        <w:tc>
          <w:tcPr>
            <w:tcW w:w="0" w:type="auto"/>
            <w:vAlign w:val="center"/>
            <w:hideMark/>
          </w:tcPr>
          <w:p w14:paraId="1CE4BE9C"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Competition with vendors, perceived food quality affected participation</w:t>
            </w:r>
          </w:p>
        </w:tc>
        <w:tc>
          <w:tcPr>
            <w:tcW w:w="0" w:type="auto"/>
            <w:vAlign w:val="center"/>
            <w:hideMark/>
          </w:tcPr>
          <w:p w14:paraId="0E712EAE"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Strengthen internal food quality standards; regulate nearby vendors</w:t>
            </w:r>
          </w:p>
        </w:tc>
      </w:tr>
    </w:tbl>
    <w:p w14:paraId="74A778C0"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i/>
          <w:iCs/>
          <w:kern w:val="0"/>
          <w:sz w:val="24"/>
          <w:szCs w:val="24"/>
          <w:lang w:eastAsia="en-ID"/>
          <w14:ligatures w14:val="none"/>
        </w:rPr>
        <w:t>This table summarizes global evidence demonstrating how cafeteria layout, timing, and environmental design influence student food selection, intake, and waste outcomes.</w:t>
      </w:r>
    </w:p>
    <w:p w14:paraId="197BC6B2" w14:textId="77777777" w:rsidR="00091BDC" w:rsidRPr="00CD4BDB" w:rsidRDefault="00091BDC" w:rsidP="00CD4BDB">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D"/>
          <w14:ligatures w14:val="none"/>
        </w:rPr>
      </w:pPr>
      <w:r w:rsidRPr="00CD4BDB">
        <w:rPr>
          <w:rFonts w:ascii="Times New Roman" w:eastAsia="Times New Roman" w:hAnsi="Times New Roman" w:cs="Times New Roman"/>
          <w:b/>
          <w:bCs/>
          <w:kern w:val="36"/>
          <w:sz w:val="24"/>
          <w:szCs w:val="24"/>
          <w:lang w:eastAsia="en-ID"/>
          <w14:ligatures w14:val="none"/>
        </w:rPr>
        <w:t>4.3 Integrated Multicomponent Packages (Education + Meals + Environment)</w:t>
      </w:r>
    </w:p>
    <w:p w14:paraId="3C824C91"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Integrated interventions that combine </w:t>
      </w:r>
      <w:r w:rsidRPr="00CD4BDB">
        <w:rPr>
          <w:rFonts w:ascii="Times New Roman" w:eastAsia="Times New Roman" w:hAnsi="Times New Roman" w:cs="Times New Roman"/>
          <w:b/>
          <w:bCs/>
          <w:kern w:val="0"/>
          <w:sz w:val="24"/>
          <w:szCs w:val="24"/>
          <w:lang w:eastAsia="en-ID"/>
          <w14:ligatures w14:val="none"/>
        </w:rPr>
        <w:t>school meals, nutrition education, and supportive environmental components</w:t>
      </w:r>
      <w:r w:rsidRPr="00CD4BDB">
        <w:rPr>
          <w:rFonts w:ascii="Times New Roman" w:eastAsia="Times New Roman" w:hAnsi="Times New Roman" w:cs="Times New Roman"/>
          <w:kern w:val="0"/>
          <w:sz w:val="24"/>
          <w:szCs w:val="24"/>
          <w:lang w:eastAsia="en-ID"/>
          <w14:ligatures w14:val="none"/>
        </w:rPr>
        <w:t xml:space="preserve"> have demonstrated substantial improvements in both dietary and educational outcomes among students. These multicomponent programs address not only what students eat but also how and why they make food choices, thus creating a comprehensive learning and health-promoting ecosystem. Programs that provide </w:t>
      </w:r>
      <w:r w:rsidRPr="00CD4BDB">
        <w:rPr>
          <w:rFonts w:ascii="Times New Roman" w:eastAsia="Times New Roman" w:hAnsi="Times New Roman" w:cs="Times New Roman"/>
          <w:b/>
          <w:bCs/>
          <w:kern w:val="0"/>
          <w:sz w:val="24"/>
          <w:szCs w:val="24"/>
          <w:lang w:eastAsia="en-ID"/>
          <w14:ligatures w14:val="none"/>
        </w:rPr>
        <w:t>nutritious meals coupled with structured education on healthy eating</w:t>
      </w:r>
      <w:r w:rsidRPr="00CD4BDB">
        <w:rPr>
          <w:rFonts w:ascii="Times New Roman" w:eastAsia="Times New Roman" w:hAnsi="Times New Roman" w:cs="Times New Roman"/>
          <w:kern w:val="0"/>
          <w:sz w:val="24"/>
          <w:szCs w:val="24"/>
          <w:lang w:eastAsia="en-ID"/>
          <w14:ligatures w14:val="none"/>
        </w:rPr>
        <w:t xml:space="preserve"> cultivate an environment where knowledge is directly reinforced through practice (Heim et al., 2022). Such synergy enhances nutrient intake, builds awareness of balanced diets, and encourages consistent healthy eating habits. Evidence shows that students exposed to integrated initiatives are more likely to select and consume healthier foods when nutritional education is paired with the availability of appealing, nutritious meals (</w:t>
      </w:r>
      <w:proofErr w:type="spellStart"/>
      <w:r w:rsidRPr="00CD4BDB">
        <w:rPr>
          <w:rFonts w:ascii="Times New Roman" w:eastAsia="Times New Roman" w:hAnsi="Times New Roman" w:cs="Times New Roman"/>
          <w:kern w:val="0"/>
          <w:sz w:val="24"/>
          <w:szCs w:val="24"/>
          <w:lang w:eastAsia="en-ID"/>
          <w14:ligatures w14:val="none"/>
        </w:rPr>
        <w:t>Rimbawan</w:t>
      </w:r>
      <w:proofErr w:type="spellEnd"/>
      <w:r w:rsidRPr="00CD4BDB">
        <w:rPr>
          <w:rFonts w:ascii="Times New Roman" w:eastAsia="Times New Roman" w:hAnsi="Times New Roman" w:cs="Times New Roman"/>
          <w:kern w:val="0"/>
          <w:sz w:val="24"/>
          <w:szCs w:val="24"/>
          <w:lang w:eastAsia="en-ID"/>
          <w14:ligatures w14:val="none"/>
        </w:rPr>
        <w:t xml:space="preserve"> et al., 2023). Furthermore, experiential components—such as </w:t>
      </w:r>
      <w:r w:rsidRPr="00CD4BDB">
        <w:rPr>
          <w:rFonts w:ascii="Times New Roman" w:eastAsia="Times New Roman" w:hAnsi="Times New Roman" w:cs="Times New Roman"/>
          <w:b/>
          <w:bCs/>
          <w:kern w:val="0"/>
          <w:sz w:val="24"/>
          <w:szCs w:val="24"/>
          <w:lang w:eastAsia="en-ID"/>
          <w14:ligatures w14:val="none"/>
        </w:rPr>
        <w:t>gardening, cooking lessons, and food-tasting activities</w:t>
      </w:r>
      <w:r w:rsidRPr="00CD4BDB">
        <w:rPr>
          <w:rFonts w:ascii="Times New Roman" w:eastAsia="Times New Roman" w:hAnsi="Times New Roman" w:cs="Times New Roman"/>
          <w:kern w:val="0"/>
          <w:sz w:val="24"/>
          <w:szCs w:val="24"/>
          <w:lang w:eastAsia="en-ID"/>
          <w14:ligatures w14:val="none"/>
        </w:rPr>
        <w:t xml:space="preserve">—have been shown to enhance children’s understanding of food systems and reinforce healthy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both inside and outside school (Rector et al., 2021).</w:t>
      </w:r>
    </w:p>
    <w:p w14:paraId="500B210D" w14:textId="6EFA2CB4" w:rsidR="00D035FB" w:rsidRPr="00CD4BDB" w:rsidRDefault="00D035FB"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hAnsi="Times New Roman" w:cs="Times New Roman"/>
          <w:noProof/>
          <w:sz w:val="24"/>
          <w:szCs w:val="24"/>
        </w:rPr>
        <w:lastRenderedPageBreak/>
        <w:drawing>
          <wp:inline distT="0" distB="0" distL="0" distR="0" wp14:anchorId="406DD288" wp14:editId="52E72371">
            <wp:extent cx="3760470" cy="3760470"/>
            <wp:effectExtent l="0" t="0" r="0" b="0"/>
            <wp:docPr id="1012236538"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ener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0470" cy="3760470"/>
                    </a:xfrm>
                    <a:prstGeom prst="rect">
                      <a:avLst/>
                    </a:prstGeom>
                    <a:noFill/>
                    <a:ln>
                      <a:noFill/>
                    </a:ln>
                  </pic:spPr>
                </pic:pic>
              </a:graphicData>
            </a:graphic>
          </wp:inline>
        </w:drawing>
      </w:r>
    </w:p>
    <w:p w14:paraId="20A51689" w14:textId="5A5A832A" w:rsidR="00D035FB" w:rsidRPr="00CD4BDB" w:rsidRDefault="00D035FB"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D007CB">
        <w:rPr>
          <w:rFonts w:ascii="Times New Roman" w:eastAsia="Times New Roman" w:hAnsi="Times New Roman" w:cs="Times New Roman"/>
          <w:i/>
          <w:iCs/>
          <w:kern w:val="0"/>
          <w:sz w:val="24"/>
          <w:szCs w:val="24"/>
          <w:lang w:eastAsia="en-ID"/>
          <w14:ligatures w14:val="none"/>
        </w:rPr>
        <w:t>Figure 3</w:t>
      </w:r>
      <w:r w:rsidRPr="00CD4BDB">
        <w:rPr>
          <w:rFonts w:ascii="Times New Roman" w:eastAsia="Times New Roman" w:hAnsi="Times New Roman" w:cs="Times New Roman"/>
          <w:kern w:val="0"/>
          <w:sz w:val="24"/>
          <w:szCs w:val="24"/>
          <w:lang w:eastAsia="en-ID"/>
          <w14:ligatures w14:val="none"/>
        </w:rPr>
        <w:t xml:space="preserve">. </w:t>
      </w:r>
      <w:r w:rsidRPr="00CD4BDB">
        <w:rPr>
          <w:rFonts w:ascii="Times New Roman" w:eastAsia="Times New Roman" w:hAnsi="Times New Roman" w:cs="Times New Roman"/>
          <w:kern w:val="0"/>
          <w:sz w:val="24"/>
          <w:szCs w:val="24"/>
          <w:lang w:eastAsia="en-ID"/>
          <w14:ligatures w14:val="none"/>
        </w:rPr>
        <w:t>Synergistic Model of Education–Meal–Environment Integration in Schools.</w:t>
      </w:r>
    </w:p>
    <w:p w14:paraId="6DC02F77" w14:textId="4E745A1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00E9CB71"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Synergy Between Education and Food Service Reforms</w:t>
      </w:r>
    </w:p>
    <w:p w14:paraId="242E4E0C"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A growing body of research supports the existence of </w:t>
      </w:r>
      <w:r w:rsidRPr="00CD4BDB">
        <w:rPr>
          <w:rFonts w:ascii="Times New Roman" w:eastAsia="Times New Roman" w:hAnsi="Times New Roman" w:cs="Times New Roman"/>
          <w:b/>
          <w:bCs/>
          <w:kern w:val="0"/>
          <w:sz w:val="24"/>
          <w:szCs w:val="24"/>
          <w:lang w:eastAsia="en-ID"/>
          <w14:ligatures w14:val="none"/>
        </w:rPr>
        <w:t>strong complementarities between classroom education and cafeteria reforms</w:t>
      </w:r>
      <w:r w:rsidRPr="00CD4BDB">
        <w:rPr>
          <w:rFonts w:ascii="Times New Roman" w:eastAsia="Times New Roman" w:hAnsi="Times New Roman" w:cs="Times New Roman"/>
          <w:kern w:val="0"/>
          <w:sz w:val="24"/>
          <w:szCs w:val="24"/>
          <w:lang w:eastAsia="en-ID"/>
          <w14:ligatures w14:val="none"/>
        </w:rPr>
        <w:t xml:space="preserve">. Integrating education with food service improvements—such as introducing </w:t>
      </w:r>
      <w:proofErr w:type="spellStart"/>
      <w:r w:rsidRPr="00CD4BDB">
        <w:rPr>
          <w:rFonts w:ascii="Times New Roman" w:eastAsia="Times New Roman" w:hAnsi="Times New Roman" w:cs="Times New Roman"/>
          <w:kern w:val="0"/>
          <w:sz w:val="24"/>
          <w:szCs w:val="24"/>
          <w:lang w:eastAsia="en-ID"/>
          <w14:ligatures w14:val="none"/>
        </w:rPr>
        <w:t>colorful</w:t>
      </w:r>
      <w:proofErr w:type="spellEnd"/>
      <w:r w:rsidRPr="00CD4BDB">
        <w:rPr>
          <w:rFonts w:ascii="Times New Roman" w:eastAsia="Times New Roman" w:hAnsi="Times New Roman" w:cs="Times New Roman"/>
          <w:kern w:val="0"/>
          <w:sz w:val="24"/>
          <w:szCs w:val="24"/>
          <w:lang w:eastAsia="en-ID"/>
          <w14:ligatures w14:val="none"/>
        </w:rPr>
        <w:t xml:space="preserve"> meal presentations, increasing fruit and vegetable variety, and modifying portion sizes—produces measurable improvements in students’ food preferences and consumption patterns (Cohen et al., 2021). For example, when educational activities about nutrition coincide with structural enhancements in meal quality, students demonstrate heightened appreciation for healthy foods, leading to </w:t>
      </w:r>
      <w:r w:rsidRPr="00CD4BDB">
        <w:rPr>
          <w:rFonts w:ascii="Times New Roman" w:eastAsia="Times New Roman" w:hAnsi="Times New Roman" w:cs="Times New Roman"/>
          <w:b/>
          <w:bCs/>
          <w:kern w:val="0"/>
          <w:sz w:val="24"/>
          <w:szCs w:val="24"/>
          <w:lang w:eastAsia="en-ID"/>
          <w14:ligatures w14:val="none"/>
        </w:rPr>
        <w:t>increased selection of nutritious options and reduced plate waste</w:t>
      </w:r>
      <w:r w:rsidRPr="00CD4BDB">
        <w:rPr>
          <w:rFonts w:ascii="Times New Roman" w:eastAsia="Times New Roman" w:hAnsi="Times New Roman" w:cs="Times New Roman"/>
          <w:kern w:val="0"/>
          <w:sz w:val="24"/>
          <w:szCs w:val="24"/>
          <w:lang w:eastAsia="en-ID"/>
          <w14:ligatures w14:val="none"/>
        </w:rPr>
        <w:t xml:space="preserve"> (Jones et al., 2023). Moreover, studies in Japan and other contexts emphasize that school environments combining education, organized meal presentation, and teacher participation during lunch enhance the social and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dimensions of eating, promoting attentiveness and community (Nakagiri et al., 2024). The alignment of </w:t>
      </w:r>
      <w:r w:rsidRPr="00CD4BDB">
        <w:rPr>
          <w:rFonts w:ascii="Times New Roman" w:eastAsia="Times New Roman" w:hAnsi="Times New Roman" w:cs="Times New Roman"/>
          <w:b/>
          <w:bCs/>
          <w:kern w:val="0"/>
          <w:sz w:val="24"/>
          <w:szCs w:val="24"/>
          <w:lang w:eastAsia="en-ID"/>
          <w14:ligatures w14:val="none"/>
        </w:rPr>
        <w:t>educational strategies and structural reforms</w:t>
      </w:r>
      <w:r w:rsidRPr="00CD4BDB">
        <w:rPr>
          <w:rFonts w:ascii="Times New Roman" w:eastAsia="Times New Roman" w:hAnsi="Times New Roman" w:cs="Times New Roman"/>
          <w:kern w:val="0"/>
          <w:sz w:val="24"/>
          <w:szCs w:val="24"/>
          <w:lang w:eastAsia="en-ID"/>
          <w14:ligatures w14:val="none"/>
        </w:rPr>
        <w:t xml:space="preserve"> thus amplifies the overall impact of school nutrition programs by ensuring that learning and practice reinforce one another (</w:t>
      </w:r>
      <w:proofErr w:type="spellStart"/>
      <w:r w:rsidRPr="00CD4BDB">
        <w:rPr>
          <w:rFonts w:ascii="Times New Roman" w:eastAsia="Times New Roman" w:hAnsi="Times New Roman" w:cs="Times New Roman"/>
          <w:kern w:val="0"/>
          <w:sz w:val="24"/>
          <w:szCs w:val="24"/>
          <w:lang w:eastAsia="en-ID"/>
          <w14:ligatures w14:val="none"/>
        </w:rPr>
        <w:t>Verguet</w:t>
      </w:r>
      <w:proofErr w:type="spellEnd"/>
      <w:r w:rsidRPr="00CD4BDB">
        <w:rPr>
          <w:rFonts w:ascii="Times New Roman" w:eastAsia="Times New Roman" w:hAnsi="Times New Roman" w:cs="Times New Roman"/>
          <w:kern w:val="0"/>
          <w:sz w:val="24"/>
          <w:szCs w:val="24"/>
          <w:lang w:eastAsia="en-ID"/>
          <w14:ligatures w14:val="none"/>
        </w:rPr>
        <w:t xml:space="preserve"> et al., 2023).</w:t>
      </w:r>
    </w:p>
    <w:p w14:paraId="1F74EB58" w14:textId="60B10EC1"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63754ACC"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Implementation Challenges and Enablers</w:t>
      </w:r>
    </w:p>
    <w:p w14:paraId="25C362AB"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Scaling up integrated school nutrition programs requires addressing both </w:t>
      </w:r>
      <w:r w:rsidRPr="00CD4BDB">
        <w:rPr>
          <w:rFonts w:ascii="Times New Roman" w:eastAsia="Times New Roman" w:hAnsi="Times New Roman" w:cs="Times New Roman"/>
          <w:b/>
          <w:bCs/>
          <w:kern w:val="0"/>
          <w:sz w:val="24"/>
          <w:szCs w:val="24"/>
          <w:lang w:eastAsia="en-ID"/>
          <w14:ligatures w14:val="none"/>
        </w:rPr>
        <w:t>implementation barriers</w:t>
      </w:r>
      <w:r w:rsidRPr="00CD4BDB">
        <w:rPr>
          <w:rFonts w:ascii="Times New Roman" w:eastAsia="Times New Roman" w:hAnsi="Times New Roman" w:cs="Times New Roman"/>
          <w:kern w:val="0"/>
          <w:sz w:val="24"/>
          <w:szCs w:val="24"/>
          <w:lang w:eastAsia="en-ID"/>
          <w14:ligatures w14:val="none"/>
        </w:rPr>
        <w:t xml:space="preserve"> and </w:t>
      </w:r>
      <w:r w:rsidRPr="00CD4BDB">
        <w:rPr>
          <w:rFonts w:ascii="Times New Roman" w:eastAsia="Times New Roman" w:hAnsi="Times New Roman" w:cs="Times New Roman"/>
          <w:b/>
          <w:bCs/>
          <w:kern w:val="0"/>
          <w:sz w:val="24"/>
          <w:szCs w:val="24"/>
          <w:lang w:eastAsia="en-ID"/>
          <w14:ligatures w14:val="none"/>
        </w:rPr>
        <w:t>facilitating factors</w:t>
      </w:r>
      <w:r w:rsidRPr="00CD4BDB">
        <w:rPr>
          <w:rFonts w:ascii="Times New Roman" w:eastAsia="Times New Roman" w:hAnsi="Times New Roman" w:cs="Times New Roman"/>
          <w:kern w:val="0"/>
          <w:sz w:val="24"/>
          <w:szCs w:val="24"/>
          <w:lang w:eastAsia="en-ID"/>
          <w14:ligatures w14:val="none"/>
        </w:rPr>
        <w:t>. Common challenges include financial constraints, resource limitations, and institutional inertia, which hinder the establishment and sustainability of meal-</w:t>
      </w:r>
      <w:r w:rsidRPr="00CD4BDB">
        <w:rPr>
          <w:rFonts w:ascii="Times New Roman" w:eastAsia="Times New Roman" w:hAnsi="Times New Roman" w:cs="Times New Roman"/>
          <w:kern w:val="0"/>
          <w:sz w:val="24"/>
          <w:szCs w:val="24"/>
          <w:lang w:eastAsia="en-ID"/>
          <w14:ligatures w14:val="none"/>
        </w:rPr>
        <w:lastRenderedPageBreak/>
        <w:t xml:space="preserve">education-environment frameworks (Rector et al., 2021). Resistance to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change among staff or school administrators can also impede integration efforts. Conversely, successful programs highlight the importance of </w:t>
      </w:r>
      <w:r w:rsidRPr="00CD4BDB">
        <w:rPr>
          <w:rFonts w:ascii="Times New Roman" w:eastAsia="Times New Roman" w:hAnsi="Times New Roman" w:cs="Times New Roman"/>
          <w:b/>
          <w:bCs/>
          <w:kern w:val="0"/>
          <w:sz w:val="24"/>
          <w:szCs w:val="24"/>
          <w:lang w:eastAsia="en-ID"/>
          <w14:ligatures w14:val="none"/>
        </w:rPr>
        <w:t>stakeholder engagement</w:t>
      </w:r>
      <w:r w:rsidRPr="00CD4BDB">
        <w:rPr>
          <w:rFonts w:ascii="Times New Roman" w:eastAsia="Times New Roman" w:hAnsi="Times New Roman" w:cs="Times New Roman"/>
          <w:kern w:val="0"/>
          <w:sz w:val="24"/>
          <w:szCs w:val="24"/>
          <w:lang w:eastAsia="en-ID"/>
          <w14:ligatures w14:val="none"/>
        </w:rPr>
        <w:t xml:space="preserve">—including teachers, parents, and local communities—in enhancing program acceptance and ownership (Heim et al., 2022). Initiatives incorporating </w:t>
      </w:r>
      <w:r w:rsidRPr="00CD4BDB">
        <w:rPr>
          <w:rFonts w:ascii="Times New Roman" w:eastAsia="Times New Roman" w:hAnsi="Times New Roman" w:cs="Times New Roman"/>
          <w:b/>
          <w:bCs/>
          <w:kern w:val="0"/>
          <w:sz w:val="24"/>
          <w:szCs w:val="24"/>
          <w:lang w:eastAsia="en-ID"/>
          <w14:ligatures w14:val="none"/>
        </w:rPr>
        <w:t>hands-on learning experiences</w:t>
      </w:r>
      <w:r w:rsidRPr="00CD4BDB">
        <w:rPr>
          <w:rFonts w:ascii="Times New Roman" w:eastAsia="Times New Roman" w:hAnsi="Times New Roman" w:cs="Times New Roman"/>
          <w:kern w:val="0"/>
          <w:sz w:val="24"/>
          <w:szCs w:val="24"/>
          <w:lang w:eastAsia="en-ID"/>
          <w14:ligatures w14:val="none"/>
        </w:rPr>
        <w:t xml:space="preserve"> such as cooking or school gardening not only improve nutritional literacy but also strengthen stakeholder buy-in by linking education with tangible community outcomes (</w:t>
      </w:r>
      <w:proofErr w:type="spellStart"/>
      <w:r w:rsidRPr="00CD4BDB">
        <w:rPr>
          <w:rFonts w:ascii="Times New Roman" w:eastAsia="Times New Roman" w:hAnsi="Times New Roman" w:cs="Times New Roman"/>
          <w:kern w:val="0"/>
          <w:sz w:val="24"/>
          <w:szCs w:val="24"/>
          <w:lang w:eastAsia="en-ID"/>
          <w14:ligatures w14:val="none"/>
        </w:rPr>
        <w:t>Sagbo</w:t>
      </w:r>
      <w:proofErr w:type="spellEnd"/>
      <w:r w:rsidRPr="00CD4BDB">
        <w:rPr>
          <w:rFonts w:ascii="Times New Roman" w:eastAsia="Times New Roman" w:hAnsi="Times New Roman" w:cs="Times New Roman"/>
          <w:kern w:val="0"/>
          <w:sz w:val="24"/>
          <w:szCs w:val="24"/>
          <w:lang w:eastAsia="en-ID"/>
          <w14:ligatures w14:val="none"/>
        </w:rPr>
        <w:t xml:space="preserve"> &amp; </w:t>
      </w:r>
      <w:proofErr w:type="spellStart"/>
      <w:r w:rsidRPr="00CD4BDB">
        <w:rPr>
          <w:rFonts w:ascii="Times New Roman" w:eastAsia="Times New Roman" w:hAnsi="Times New Roman" w:cs="Times New Roman"/>
          <w:kern w:val="0"/>
          <w:sz w:val="24"/>
          <w:szCs w:val="24"/>
          <w:lang w:eastAsia="en-ID"/>
          <w14:ligatures w14:val="none"/>
        </w:rPr>
        <w:t>Kpodji</w:t>
      </w:r>
      <w:proofErr w:type="spellEnd"/>
      <w:r w:rsidRPr="00CD4BDB">
        <w:rPr>
          <w:rFonts w:ascii="Times New Roman" w:eastAsia="Times New Roman" w:hAnsi="Times New Roman" w:cs="Times New Roman"/>
          <w:kern w:val="0"/>
          <w:sz w:val="24"/>
          <w:szCs w:val="24"/>
          <w:lang w:eastAsia="en-ID"/>
          <w14:ligatures w14:val="none"/>
        </w:rPr>
        <w:t>, 2023). Capacity-building workshops, resource sharing, and multi-sectoral partnerships across health, education, and agriculture sectors further facilitate scalability and long-term sustainability.</w:t>
      </w:r>
    </w:p>
    <w:p w14:paraId="53AD0127" w14:textId="038FD942"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2F121680"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Cost-Effectiveness and Long-Term Impact</w:t>
      </w:r>
    </w:p>
    <w:p w14:paraId="63F6047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Evidence indicates that integrated school-based nutrition programs yield significant </w:t>
      </w:r>
      <w:r w:rsidRPr="00CD4BDB">
        <w:rPr>
          <w:rFonts w:ascii="Times New Roman" w:eastAsia="Times New Roman" w:hAnsi="Times New Roman" w:cs="Times New Roman"/>
          <w:b/>
          <w:bCs/>
          <w:kern w:val="0"/>
          <w:sz w:val="24"/>
          <w:szCs w:val="24"/>
          <w:lang w:eastAsia="en-ID"/>
          <w14:ligatures w14:val="none"/>
        </w:rPr>
        <w:t>health and educational returns on investment</w:t>
      </w:r>
      <w:r w:rsidRPr="00CD4BDB">
        <w:rPr>
          <w:rFonts w:ascii="Times New Roman" w:eastAsia="Times New Roman" w:hAnsi="Times New Roman" w:cs="Times New Roman"/>
          <w:kern w:val="0"/>
          <w:sz w:val="24"/>
          <w:szCs w:val="24"/>
          <w:lang w:eastAsia="en-ID"/>
          <w14:ligatures w14:val="none"/>
        </w:rPr>
        <w:t xml:space="preserve">. Evaluations consistently report dual benefits—improved nutritional outcomes, such as </w:t>
      </w:r>
      <w:r w:rsidRPr="00CD4BDB">
        <w:rPr>
          <w:rFonts w:ascii="Times New Roman" w:eastAsia="Times New Roman" w:hAnsi="Times New Roman" w:cs="Times New Roman"/>
          <w:b/>
          <w:bCs/>
          <w:kern w:val="0"/>
          <w:sz w:val="24"/>
          <w:szCs w:val="24"/>
          <w:lang w:eastAsia="en-ID"/>
          <w14:ligatures w14:val="none"/>
        </w:rPr>
        <w:t xml:space="preserve">reduced </w:t>
      </w:r>
      <w:proofErr w:type="spellStart"/>
      <w:r w:rsidRPr="00CD4BDB">
        <w:rPr>
          <w:rFonts w:ascii="Times New Roman" w:eastAsia="Times New Roman" w:hAnsi="Times New Roman" w:cs="Times New Roman"/>
          <w:b/>
          <w:bCs/>
          <w:kern w:val="0"/>
          <w:sz w:val="24"/>
          <w:szCs w:val="24"/>
          <w:lang w:eastAsia="en-ID"/>
          <w14:ligatures w14:val="none"/>
        </w:rPr>
        <w:t>anemia</w:t>
      </w:r>
      <w:proofErr w:type="spellEnd"/>
      <w:r w:rsidRPr="00CD4BDB">
        <w:rPr>
          <w:rFonts w:ascii="Times New Roman" w:eastAsia="Times New Roman" w:hAnsi="Times New Roman" w:cs="Times New Roman"/>
          <w:b/>
          <w:bCs/>
          <w:kern w:val="0"/>
          <w:sz w:val="24"/>
          <w:szCs w:val="24"/>
          <w:lang w:eastAsia="en-ID"/>
          <w14:ligatures w14:val="none"/>
        </w:rPr>
        <w:t xml:space="preserve"> rates and enhanced dietary diversity</w:t>
      </w:r>
      <w:r w:rsidRPr="00CD4BDB">
        <w:rPr>
          <w:rFonts w:ascii="Times New Roman" w:eastAsia="Times New Roman" w:hAnsi="Times New Roman" w:cs="Times New Roman"/>
          <w:kern w:val="0"/>
          <w:sz w:val="24"/>
          <w:szCs w:val="24"/>
          <w:lang w:eastAsia="en-ID"/>
          <w14:ligatures w14:val="none"/>
        </w:rPr>
        <w:t xml:space="preserve">, alongside better educational outcomes, including </w:t>
      </w:r>
      <w:r w:rsidRPr="00CD4BDB">
        <w:rPr>
          <w:rFonts w:ascii="Times New Roman" w:eastAsia="Times New Roman" w:hAnsi="Times New Roman" w:cs="Times New Roman"/>
          <w:b/>
          <w:bCs/>
          <w:kern w:val="0"/>
          <w:sz w:val="24"/>
          <w:szCs w:val="24"/>
          <w:lang w:eastAsia="en-ID"/>
          <w14:ligatures w14:val="none"/>
        </w:rPr>
        <w:t>increased attendance, improved concentration, and higher academic performance</w:t>
      </w:r>
      <w:r w:rsidRPr="00CD4BDB">
        <w:rPr>
          <w:rFonts w:ascii="Times New Roman" w:eastAsia="Times New Roman" w:hAnsi="Times New Roman" w:cs="Times New Roman"/>
          <w:kern w:val="0"/>
          <w:sz w:val="24"/>
          <w:szCs w:val="24"/>
          <w:lang w:eastAsia="en-ID"/>
          <w14:ligatures w14:val="none"/>
        </w:rPr>
        <w:t xml:space="preserve"> (</w:t>
      </w:r>
      <w:proofErr w:type="spellStart"/>
      <w:r w:rsidRPr="00CD4BDB">
        <w:rPr>
          <w:rFonts w:ascii="Times New Roman" w:eastAsia="Times New Roman" w:hAnsi="Times New Roman" w:cs="Times New Roman"/>
          <w:kern w:val="0"/>
          <w:sz w:val="24"/>
          <w:szCs w:val="24"/>
          <w:lang w:eastAsia="en-ID"/>
          <w14:ligatures w14:val="none"/>
        </w:rPr>
        <w:t>Rimbawan</w:t>
      </w:r>
      <w:proofErr w:type="spellEnd"/>
      <w:r w:rsidRPr="00CD4BDB">
        <w:rPr>
          <w:rFonts w:ascii="Times New Roman" w:eastAsia="Times New Roman" w:hAnsi="Times New Roman" w:cs="Times New Roman"/>
          <w:kern w:val="0"/>
          <w:sz w:val="24"/>
          <w:szCs w:val="24"/>
          <w:lang w:eastAsia="en-ID"/>
          <w14:ligatures w14:val="none"/>
        </w:rPr>
        <w:t xml:space="preserve"> et al., 2023; </w:t>
      </w:r>
      <w:proofErr w:type="spellStart"/>
      <w:r w:rsidRPr="00CD4BDB">
        <w:rPr>
          <w:rFonts w:ascii="Times New Roman" w:eastAsia="Times New Roman" w:hAnsi="Times New Roman" w:cs="Times New Roman"/>
          <w:kern w:val="0"/>
          <w:sz w:val="24"/>
          <w:szCs w:val="24"/>
          <w:lang w:eastAsia="en-ID"/>
          <w14:ligatures w14:val="none"/>
        </w:rPr>
        <w:t>Verguet</w:t>
      </w:r>
      <w:proofErr w:type="spellEnd"/>
      <w:r w:rsidRPr="00CD4BDB">
        <w:rPr>
          <w:rFonts w:ascii="Times New Roman" w:eastAsia="Times New Roman" w:hAnsi="Times New Roman" w:cs="Times New Roman"/>
          <w:kern w:val="0"/>
          <w:sz w:val="24"/>
          <w:szCs w:val="24"/>
          <w:lang w:eastAsia="en-ID"/>
          <w14:ligatures w14:val="none"/>
        </w:rPr>
        <w:t xml:space="preserve"> et al., 2023). These interventions are also associated with </w:t>
      </w:r>
      <w:r w:rsidRPr="00CD4BDB">
        <w:rPr>
          <w:rFonts w:ascii="Times New Roman" w:eastAsia="Times New Roman" w:hAnsi="Times New Roman" w:cs="Times New Roman"/>
          <w:b/>
          <w:bCs/>
          <w:kern w:val="0"/>
          <w:sz w:val="24"/>
          <w:szCs w:val="24"/>
          <w:lang w:eastAsia="en-ID"/>
          <w14:ligatures w14:val="none"/>
        </w:rPr>
        <w:t>positive social and economic externalities</w:t>
      </w:r>
      <w:r w:rsidRPr="00CD4BDB">
        <w:rPr>
          <w:rFonts w:ascii="Times New Roman" w:eastAsia="Times New Roman" w:hAnsi="Times New Roman" w:cs="Times New Roman"/>
          <w:kern w:val="0"/>
          <w:sz w:val="24"/>
          <w:szCs w:val="24"/>
          <w:lang w:eastAsia="en-ID"/>
          <w14:ligatures w14:val="none"/>
        </w:rPr>
        <w:t>, such as greater food security, improved gender equity, and strengthened local food systems (</w:t>
      </w:r>
      <w:proofErr w:type="spellStart"/>
      <w:r w:rsidRPr="00CD4BDB">
        <w:rPr>
          <w:rFonts w:ascii="Times New Roman" w:eastAsia="Times New Roman" w:hAnsi="Times New Roman" w:cs="Times New Roman"/>
          <w:kern w:val="0"/>
          <w:sz w:val="24"/>
          <w:szCs w:val="24"/>
          <w:lang w:eastAsia="en-ID"/>
          <w14:ligatures w14:val="none"/>
        </w:rPr>
        <w:t>Pienaah</w:t>
      </w:r>
      <w:proofErr w:type="spellEnd"/>
      <w:r w:rsidRPr="00CD4BDB">
        <w:rPr>
          <w:rFonts w:ascii="Times New Roman" w:eastAsia="Times New Roman" w:hAnsi="Times New Roman" w:cs="Times New Roman"/>
          <w:kern w:val="0"/>
          <w:sz w:val="24"/>
          <w:szCs w:val="24"/>
          <w:lang w:eastAsia="en-ID"/>
          <w14:ligatures w14:val="none"/>
        </w:rPr>
        <w:t xml:space="preserve"> et al., 2024). The holistic integration of nutrition and education therefore represents an economically efficient strategy for human capital development. Cost-effectiveness analyses suggest that the long-term gains in learning outcomes, productivity, and health outweigh program costs, supporting calls for sustained governmental investment and international collaboration.</w:t>
      </w:r>
    </w:p>
    <w:p w14:paraId="70162C82" w14:textId="408E75F8"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1DB66AEB"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Synthesis and Implications</w:t>
      </w:r>
    </w:p>
    <w:p w14:paraId="7A307E3A"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collective evidence underscores that </w:t>
      </w:r>
      <w:r w:rsidRPr="00CD4BDB">
        <w:rPr>
          <w:rFonts w:ascii="Times New Roman" w:eastAsia="Times New Roman" w:hAnsi="Times New Roman" w:cs="Times New Roman"/>
          <w:b/>
          <w:bCs/>
          <w:kern w:val="0"/>
          <w:sz w:val="24"/>
          <w:szCs w:val="24"/>
          <w:lang w:eastAsia="en-ID"/>
          <w14:ligatures w14:val="none"/>
        </w:rPr>
        <w:t>integrated nutrition education, meal provision, and environmental interventions</w:t>
      </w:r>
      <w:r w:rsidRPr="00CD4BDB">
        <w:rPr>
          <w:rFonts w:ascii="Times New Roman" w:eastAsia="Times New Roman" w:hAnsi="Times New Roman" w:cs="Times New Roman"/>
          <w:kern w:val="0"/>
          <w:sz w:val="24"/>
          <w:szCs w:val="24"/>
          <w:lang w:eastAsia="en-ID"/>
          <w14:ligatures w14:val="none"/>
        </w:rPr>
        <w:t xml:space="preserve"> form a powerful triad for improving children’s wellbeing and academic potential. The synergy among these components not only enhances immediate dietary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but also supports the development of lifelong healthy habits. Programs that bridge education with tangible food experiences cultivate both cognitive understanding and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reinforcement, ensuring that nutrition learning extends beyond the classroom. Successful implementation depends on sustained stakeholder collaboration, adequate funding, and adaptive frameworks that accommodate local cultural and contextual nuances. Moving forward, policymakers and educators are encouraged to institutionalize integrated nutrition systems within school curricula and national health policies to achieve scalable, equitable, and sustainable impacts.</w:t>
      </w:r>
    </w:p>
    <w:p w14:paraId="31677480" w14:textId="34507F64"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68ED2F09"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Table 3. Integrated Multicomponent Packages (Education + Meals + Environment)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5"/>
        <w:gridCol w:w="1513"/>
        <w:gridCol w:w="2444"/>
        <w:gridCol w:w="1882"/>
        <w:gridCol w:w="1532"/>
      </w:tblGrid>
      <w:tr w:rsidR="00091BDC" w:rsidRPr="00CD4BDB" w14:paraId="4E6D6281" w14:textId="77777777">
        <w:trPr>
          <w:tblHeader/>
          <w:tblCellSpacing w:w="15" w:type="dxa"/>
        </w:trPr>
        <w:tc>
          <w:tcPr>
            <w:tcW w:w="0" w:type="auto"/>
            <w:vAlign w:val="center"/>
            <w:hideMark/>
          </w:tcPr>
          <w:p w14:paraId="6E32529E"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lastRenderedPageBreak/>
              <w:t>Author/Year</w:t>
            </w:r>
          </w:p>
        </w:tc>
        <w:tc>
          <w:tcPr>
            <w:tcW w:w="0" w:type="auto"/>
            <w:vAlign w:val="center"/>
            <w:hideMark/>
          </w:tcPr>
          <w:p w14:paraId="1B987C40"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Sample/Case</w:t>
            </w:r>
          </w:p>
        </w:tc>
        <w:tc>
          <w:tcPr>
            <w:tcW w:w="0" w:type="auto"/>
            <w:vAlign w:val="center"/>
            <w:hideMark/>
          </w:tcPr>
          <w:p w14:paraId="43E358AD"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Variables/Concepts Examined</w:t>
            </w:r>
          </w:p>
        </w:tc>
        <w:tc>
          <w:tcPr>
            <w:tcW w:w="0" w:type="auto"/>
            <w:vAlign w:val="center"/>
            <w:hideMark/>
          </w:tcPr>
          <w:p w14:paraId="03CDABE2"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Outcomes</w:t>
            </w:r>
          </w:p>
        </w:tc>
        <w:tc>
          <w:tcPr>
            <w:tcW w:w="0" w:type="auto"/>
            <w:vAlign w:val="center"/>
            <w:hideMark/>
          </w:tcPr>
          <w:p w14:paraId="0447B813"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Critical Notes</w:t>
            </w:r>
          </w:p>
        </w:tc>
      </w:tr>
      <w:tr w:rsidR="00091BDC" w:rsidRPr="00CD4BDB" w14:paraId="236EE1DC" w14:textId="77777777">
        <w:trPr>
          <w:tblCellSpacing w:w="15" w:type="dxa"/>
        </w:trPr>
        <w:tc>
          <w:tcPr>
            <w:tcW w:w="0" w:type="auto"/>
            <w:vAlign w:val="center"/>
            <w:hideMark/>
          </w:tcPr>
          <w:p w14:paraId="5568D224"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roofErr w:type="spellStart"/>
            <w:r w:rsidRPr="00CD4BDB">
              <w:rPr>
                <w:rFonts w:ascii="Times New Roman" w:eastAsia="Times New Roman" w:hAnsi="Times New Roman" w:cs="Times New Roman"/>
                <w:kern w:val="0"/>
                <w:sz w:val="24"/>
                <w:szCs w:val="24"/>
                <w:lang w:eastAsia="en-ID"/>
                <w14:ligatures w14:val="none"/>
              </w:rPr>
              <w:t>Sapwarobol</w:t>
            </w:r>
            <w:proofErr w:type="spellEnd"/>
            <w:r w:rsidRPr="00CD4BDB">
              <w:rPr>
                <w:rFonts w:ascii="Times New Roman" w:eastAsia="Times New Roman" w:hAnsi="Times New Roman" w:cs="Times New Roman"/>
                <w:kern w:val="0"/>
                <w:sz w:val="24"/>
                <w:szCs w:val="24"/>
                <w:lang w:eastAsia="en-ID"/>
                <w14:ligatures w14:val="none"/>
              </w:rPr>
              <w:t xml:space="preserve"> &amp; </w:t>
            </w:r>
            <w:proofErr w:type="spellStart"/>
            <w:r w:rsidRPr="00CD4BDB">
              <w:rPr>
                <w:rFonts w:ascii="Times New Roman" w:eastAsia="Times New Roman" w:hAnsi="Times New Roman" w:cs="Times New Roman"/>
                <w:kern w:val="0"/>
                <w:sz w:val="24"/>
                <w:szCs w:val="24"/>
                <w:lang w:eastAsia="en-ID"/>
                <w14:ligatures w14:val="none"/>
              </w:rPr>
              <w:t>Hataichanok</w:t>
            </w:r>
            <w:proofErr w:type="spellEnd"/>
            <w:r w:rsidRPr="00CD4BDB">
              <w:rPr>
                <w:rFonts w:ascii="Times New Roman" w:eastAsia="Times New Roman" w:hAnsi="Times New Roman" w:cs="Times New Roman"/>
                <w:kern w:val="0"/>
                <w:sz w:val="24"/>
                <w:szCs w:val="24"/>
                <w:lang w:eastAsia="en-ID"/>
                <w14:ligatures w14:val="none"/>
              </w:rPr>
              <w:t>, 2024</w:t>
            </w:r>
          </w:p>
        </w:tc>
        <w:tc>
          <w:tcPr>
            <w:tcW w:w="0" w:type="auto"/>
            <w:vAlign w:val="center"/>
            <w:hideMark/>
          </w:tcPr>
          <w:p w14:paraId="3152A2C5"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Thailand preschools</w:t>
            </w:r>
          </w:p>
        </w:tc>
        <w:tc>
          <w:tcPr>
            <w:tcW w:w="0" w:type="auto"/>
            <w:vAlign w:val="center"/>
            <w:hideMark/>
          </w:tcPr>
          <w:p w14:paraId="4A3B246D"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U4HK program: education + hero menus + materials</w:t>
            </w:r>
          </w:p>
        </w:tc>
        <w:tc>
          <w:tcPr>
            <w:tcW w:w="0" w:type="auto"/>
            <w:vAlign w:val="center"/>
            <w:hideMark/>
          </w:tcPr>
          <w:p w14:paraId="59F140AA"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Vegetable (+127%) and fruit (+45%) intake; improved nutrient profile</w:t>
            </w:r>
          </w:p>
        </w:tc>
        <w:tc>
          <w:tcPr>
            <w:tcW w:w="0" w:type="auto"/>
            <w:vAlign w:val="center"/>
            <w:hideMark/>
          </w:tcPr>
          <w:p w14:paraId="174A9626"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Integrated approach; short-term; no control</w:t>
            </w:r>
          </w:p>
        </w:tc>
      </w:tr>
      <w:tr w:rsidR="00091BDC" w:rsidRPr="00CD4BDB" w14:paraId="12C817D3" w14:textId="77777777">
        <w:trPr>
          <w:tblCellSpacing w:w="15" w:type="dxa"/>
        </w:trPr>
        <w:tc>
          <w:tcPr>
            <w:tcW w:w="0" w:type="auto"/>
            <w:vAlign w:val="center"/>
            <w:hideMark/>
          </w:tcPr>
          <w:p w14:paraId="6FDB7548"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Indonesia Boarding School Program, 2023</w:t>
            </w:r>
          </w:p>
        </w:tc>
        <w:tc>
          <w:tcPr>
            <w:tcW w:w="0" w:type="auto"/>
            <w:vAlign w:val="center"/>
            <w:hideMark/>
          </w:tcPr>
          <w:p w14:paraId="512F4C7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Secondary students (n=319)</w:t>
            </w:r>
          </w:p>
        </w:tc>
        <w:tc>
          <w:tcPr>
            <w:tcW w:w="0" w:type="auto"/>
            <w:vAlign w:val="center"/>
            <w:hideMark/>
          </w:tcPr>
          <w:p w14:paraId="1E95F84E"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Nutrition education + school meal program</w:t>
            </w:r>
          </w:p>
        </w:tc>
        <w:tc>
          <w:tcPr>
            <w:tcW w:w="0" w:type="auto"/>
            <w:vAlign w:val="center"/>
            <w:hideMark/>
          </w:tcPr>
          <w:p w14:paraId="7A639835"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Improved KAP, ↑ iron/protein intake, ↓ </w:t>
            </w:r>
            <w:proofErr w:type="spellStart"/>
            <w:r w:rsidRPr="00CD4BDB">
              <w:rPr>
                <w:rFonts w:ascii="Times New Roman" w:eastAsia="Times New Roman" w:hAnsi="Times New Roman" w:cs="Times New Roman"/>
                <w:kern w:val="0"/>
                <w:sz w:val="24"/>
                <w:szCs w:val="24"/>
                <w:lang w:eastAsia="en-ID"/>
                <w14:ligatures w14:val="none"/>
              </w:rPr>
              <w:t>anemia</w:t>
            </w:r>
            <w:proofErr w:type="spellEnd"/>
          </w:p>
        </w:tc>
        <w:tc>
          <w:tcPr>
            <w:tcW w:w="0" w:type="auto"/>
            <w:vAlign w:val="center"/>
            <w:hideMark/>
          </w:tcPr>
          <w:p w14:paraId="59D31B38"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Strong biomarker outcomes; pre–post design only</w:t>
            </w:r>
          </w:p>
        </w:tc>
      </w:tr>
      <w:tr w:rsidR="00091BDC" w:rsidRPr="00CD4BDB" w14:paraId="1F0017C5" w14:textId="77777777">
        <w:trPr>
          <w:tblCellSpacing w:w="15" w:type="dxa"/>
        </w:trPr>
        <w:tc>
          <w:tcPr>
            <w:tcW w:w="0" w:type="auto"/>
            <w:vAlign w:val="center"/>
            <w:hideMark/>
          </w:tcPr>
          <w:p w14:paraId="2146C362"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Dodoma, Tanzania, 2022</w:t>
            </w:r>
          </w:p>
        </w:tc>
        <w:tc>
          <w:tcPr>
            <w:tcW w:w="0" w:type="auto"/>
            <w:vAlign w:val="center"/>
            <w:hideMark/>
          </w:tcPr>
          <w:p w14:paraId="32C25640"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Secondary schools (10 sites)</w:t>
            </w:r>
          </w:p>
        </w:tc>
        <w:tc>
          <w:tcPr>
            <w:tcW w:w="0" w:type="auto"/>
            <w:vAlign w:val="center"/>
            <w:hideMark/>
          </w:tcPr>
          <w:p w14:paraId="6473B24F"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School gardens + meal programs + WASH education</w:t>
            </w:r>
          </w:p>
        </w:tc>
        <w:tc>
          <w:tcPr>
            <w:tcW w:w="0" w:type="auto"/>
            <w:vAlign w:val="center"/>
            <w:hideMark/>
          </w:tcPr>
          <w:p w14:paraId="458C7177"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Stakeholder support; feasibility confirmed; infrastructure challenges</w:t>
            </w:r>
          </w:p>
        </w:tc>
        <w:tc>
          <w:tcPr>
            <w:tcW w:w="0" w:type="auto"/>
            <w:vAlign w:val="center"/>
            <w:hideMark/>
          </w:tcPr>
          <w:p w14:paraId="37E9CA3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Illustrates feasibility, not impact</w:t>
            </w:r>
          </w:p>
        </w:tc>
      </w:tr>
      <w:tr w:rsidR="00091BDC" w:rsidRPr="00CD4BDB" w14:paraId="66BBB338" w14:textId="77777777">
        <w:trPr>
          <w:tblCellSpacing w:w="15" w:type="dxa"/>
        </w:trPr>
        <w:tc>
          <w:tcPr>
            <w:tcW w:w="0" w:type="auto"/>
            <w:vAlign w:val="center"/>
            <w:hideMark/>
          </w:tcPr>
          <w:p w14:paraId="619CAE57"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Japan, 2024</w:t>
            </w:r>
          </w:p>
        </w:tc>
        <w:tc>
          <w:tcPr>
            <w:tcW w:w="0" w:type="auto"/>
            <w:vAlign w:val="center"/>
            <w:hideMark/>
          </w:tcPr>
          <w:p w14:paraId="52D92E46"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National lunch program</w:t>
            </w:r>
          </w:p>
        </w:tc>
        <w:tc>
          <w:tcPr>
            <w:tcW w:w="0" w:type="auto"/>
            <w:vAlign w:val="center"/>
            <w:hideMark/>
          </w:tcPr>
          <w:p w14:paraId="70D11821"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Nutrition teacher presence + logistics (time-to-serve, class size)</w:t>
            </w:r>
          </w:p>
        </w:tc>
        <w:tc>
          <w:tcPr>
            <w:tcW w:w="0" w:type="auto"/>
            <w:vAlign w:val="center"/>
            <w:hideMark/>
          </w:tcPr>
          <w:p w14:paraId="2097AEFD"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Lower leftovers, improved awareness</w:t>
            </w:r>
          </w:p>
        </w:tc>
        <w:tc>
          <w:tcPr>
            <w:tcW w:w="0" w:type="auto"/>
            <w:vAlign w:val="center"/>
            <w:hideMark/>
          </w:tcPr>
          <w:p w14:paraId="7620E345"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Highlights interaction between education &amp; service design</w:t>
            </w:r>
          </w:p>
        </w:tc>
      </w:tr>
    </w:tbl>
    <w:p w14:paraId="49D74D93"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i/>
          <w:iCs/>
          <w:kern w:val="0"/>
          <w:sz w:val="24"/>
          <w:szCs w:val="24"/>
          <w:lang w:eastAsia="en-ID"/>
          <w14:ligatures w14:val="none"/>
        </w:rPr>
        <w:t>This table summarizes evidence demonstrating that multicomponent programs integrating meals, education, and supportive environments enhance both dietary outcomes and educational achievement.</w:t>
      </w:r>
    </w:p>
    <w:p w14:paraId="5CD774AA" w14:textId="77777777" w:rsidR="00091BDC" w:rsidRPr="00CD4BDB" w:rsidRDefault="00091BDC" w:rsidP="00CD4BDB">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D"/>
          <w14:ligatures w14:val="none"/>
        </w:rPr>
      </w:pPr>
      <w:r w:rsidRPr="00CD4BDB">
        <w:rPr>
          <w:rFonts w:ascii="Times New Roman" w:eastAsia="Times New Roman" w:hAnsi="Times New Roman" w:cs="Times New Roman"/>
          <w:b/>
          <w:bCs/>
          <w:kern w:val="36"/>
          <w:sz w:val="24"/>
          <w:szCs w:val="24"/>
          <w:lang w:eastAsia="en-ID"/>
          <w14:ligatures w14:val="none"/>
        </w:rPr>
        <w:t>4.4 Policies, Food Environments &amp; Long-Run Human Capital</w:t>
      </w:r>
    </w:p>
    <w:p w14:paraId="50A386BB"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National </w:t>
      </w:r>
      <w:r w:rsidRPr="00CD4BDB">
        <w:rPr>
          <w:rFonts w:ascii="Times New Roman" w:eastAsia="Times New Roman" w:hAnsi="Times New Roman" w:cs="Times New Roman"/>
          <w:b/>
          <w:bCs/>
          <w:kern w:val="0"/>
          <w:sz w:val="24"/>
          <w:szCs w:val="24"/>
          <w:lang w:eastAsia="en-ID"/>
          <w14:ligatures w14:val="none"/>
        </w:rPr>
        <w:t>school meal policies</w:t>
      </w:r>
      <w:r w:rsidRPr="00CD4BDB">
        <w:rPr>
          <w:rFonts w:ascii="Times New Roman" w:eastAsia="Times New Roman" w:hAnsi="Times New Roman" w:cs="Times New Roman"/>
          <w:kern w:val="0"/>
          <w:sz w:val="24"/>
          <w:szCs w:val="24"/>
          <w:lang w:eastAsia="en-ID"/>
          <w14:ligatures w14:val="none"/>
        </w:rPr>
        <w:t xml:space="preserve"> exert long-term effects on human capital development, influencing educational attainment, employment outcomes, and income levels. Evidence consistently indicates that access to nutritious meals during childhood enhances cognitive development, school attendance, and academic performance (Heim et al., 2022). Improved learning outcomes, in turn, contribute to greater employability and higher income in adulthood (</w:t>
      </w:r>
      <w:proofErr w:type="spellStart"/>
      <w:r w:rsidRPr="00CD4BDB">
        <w:rPr>
          <w:rFonts w:ascii="Times New Roman" w:eastAsia="Times New Roman" w:hAnsi="Times New Roman" w:cs="Times New Roman"/>
          <w:kern w:val="0"/>
          <w:sz w:val="24"/>
          <w:szCs w:val="24"/>
          <w:lang w:eastAsia="en-ID"/>
          <w14:ligatures w14:val="none"/>
        </w:rPr>
        <w:t>Verguet</w:t>
      </w:r>
      <w:proofErr w:type="spellEnd"/>
      <w:r w:rsidRPr="00CD4BDB">
        <w:rPr>
          <w:rFonts w:ascii="Times New Roman" w:eastAsia="Times New Roman" w:hAnsi="Times New Roman" w:cs="Times New Roman"/>
          <w:kern w:val="0"/>
          <w:sz w:val="24"/>
          <w:szCs w:val="24"/>
          <w:lang w:eastAsia="en-ID"/>
          <w14:ligatures w14:val="none"/>
        </w:rPr>
        <w:t xml:space="preserve"> et al., 2023). Studies have found that students who participate in sustained school meal programs gain essential educational qualifications that enhance their long-term employment prospects and earning potential. Thus, school nutrition programs are not merely welfare interventions but strategic investments in economic productivity and national human capital formation.</w:t>
      </w:r>
    </w:p>
    <w:p w14:paraId="2C74A022" w14:textId="0F33E012"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112FF6EB"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Food Environment and Program Effectiveness</w:t>
      </w:r>
    </w:p>
    <w:p w14:paraId="7820628B"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w:t>
      </w:r>
      <w:r w:rsidRPr="00CD4BDB">
        <w:rPr>
          <w:rFonts w:ascii="Times New Roman" w:eastAsia="Times New Roman" w:hAnsi="Times New Roman" w:cs="Times New Roman"/>
          <w:b/>
          <w:bCs/>
          <w:kern w:val="0"/>
          <w:sz w:val="24"/>
          <w:szCs w:val="24"/>
          <w:lang w:eastAsia="en-ID"/>
          <w14:ligatures w14:val="none"/>
        </w:rPr>
        <w:t>food environment surrounding schools</w:t>
      </w:r>
      <w:r w:rsidRPr="00CD4BDB">
        <w:rPr>
          <w:rFonts w:ascii="Times New Roman" w:eastAsia="Times New Roman" w:hAnsi="Times New Roman" w:cs="Times New Roman"/>
          <w:kern w:val="0"/>
          <w:sz w:val="24"/>
          <w:szCs w:val="24"/>
          <w:lang w:eastAsia="en-ID"/>
          <w14:ligatures w14:val="none"/>
        </w:rPr>
        <w:t xml:space="preserve"> plays a pivotal role in determining the success of government feeding and nutrition initiatives. Factors such as the proximity of fast-food outlets, the presence of healthy food vendors, and the overall community food culture influence students’ daily consumption patterns (França et al., 2024; Cohen et al., 2021). When schools are embedded in </w:t>
      </w:r>
      <w:proofErr w:type="spellStart"/>
      <w:r w:rsidRPr="00CD4BDB">
        <w:rPr>
          <w:rFonts w:ascii="Times New Roman" w:eastAsia="Times New Roman" w:hAnsi="Times New Roman" w:cs="Times New Roman"/>
          <w:kern w:val="0"/>
          <w:sz w:val="24"/>
          <w:szCs w:val="24"/>
          <w:lang w:eastAsia="en-ID"/>
          <w14:ligatures w14:val="none"/>
        </w:rPr>
        <w:t>neighborhoods</w:t>
      </w:r>
      <w:proofErr w:type="spellEnd"/>
      <w:r w:rsidRPr="00CD4BDB">
        <w:rPr>
          <w:rFonts w:ascii="Times New Roman" w:eastAsia="Times New Roman" w:hAnsi="Times New Roman" w:cs="Times New Roman"/>
          <w:kern w:val="0"/>
          <w:sz w:val="24"/>
          <w:szCs w:val="24"/>
          <w:lang w:eastAsia="en-ID"/>
          <w14:ligatures w14:val="none"/>
        </w:rPr>
        <w:t xml:space="preserve"> with accessible and appealing healthy food options, students </w:t>
      </w:r>
      <w:r w:rsidRPr="00CD4BDB">
        <w:rPr>
          <w:rFonts w:ascii="Times New Roman" w:eastAsia="Times New Roman" w:hAnsi="Times New Roman" w:cs="Times New Roman"/>
          <w:kern w:val="0"/>
          <w:sz w:val="24"/>
          <w:szCs w:val="24"/>
          <w:lang w:eastAsia="en-ID"/>
          <w14:ligatures w14:val="none"/>
        </w:rPr>
        <w:lastRenderedPageBreak/>
        <w:t>are more likely to make nutritious choices (Rector et al., 2021). Conversely, environments dominated by unhealthy food outlets undermine school-based nutrition efforts, diminishing their intended health benefits and increasing resource inefficiency (França et al., 2024). A supportive food ecosystem—through policy measures such as zoning, vendor regulation, and partnerships with local food producers—is therefore vital to amplify the positive outcomes of school feeding programs.</w:t>
      </w:r>
    </w:p>
    <w:p w14:paraId="0D717226" w14:textId="5427C39E"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5434D4D3"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Equity and Distributional Impacts</w:t>
      </w:r>
    </w:p>
    <w:p w14:paraId="5F661050" w14:textId="2194CC0C" w:rsidR="00091BDC" w:rsidRPr="00CD4BDB" w:rsidRDefault="00091BDC" w:rsidP="00D007C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w:t>
      </w:r>
      <w:r w:rsidRPr="00CD4BDB">
        <w:rPr>
          <w:rFonts w:ascii="Times New Roman" w:eastAsia="Times New Roman" w:hAnsi="Times New Roman" w:cs="Times New Roman"/>
          <w:b/>
          <w:bCs/>
          <w:kern w:val="0"/>
          <w:sz w:val="24"/>
          <w:szCs w:val="24"/>
          <w:lang w:eastAsia="en-ID"/>
          <w14:ligatures w14:val="none"/>
        </w:rPr>
        <w:t>distributional and equity effects</w:t>
      </w:r>
      <w:r w:rsidRPr="00CD4BDB">
        <w:rPr>
          <w:rFonts w:ascii="Times New Roman" w:eastAsia="Times New Roman" w:hAnsi="Times New Roman" w:cs="Times New Roman"/>
          <w:kern w:val="0"/>
          <w:sz w:val="24"/>
          <w:szCs w:val="24"/>
          <w:lang w:eastAsia="en-ID"/>
          <w14:ligatures w14:val="none"/>
        </w:rPr>
        <w:t xml:space="preserve"> of universal versus targeted school meal policies reveal important distinctions in access and inclusivity. Universal school meal programs, which provide meals to all students regardless of socioeconomic background, promote equity by reducing stigmatization and improving participation across diverse income groups (Collado-Soler et al., 2023). This inclusivity ensures that all children benefit from enhanced dietary quality, leading to improvements in health and educational indicators across populations. In contrast, targeted programs may efficiently serve low-income students but can unintentionally reinforce social disparities by excluding borderline or unregistered groups. Research highlights that universal schemes are associated with higher attendance, better academic outcomes, and improved health equity, positioning them as preferred models for large-scale social impact.</w:t>
      </w:r>
    </w:p>
    <w:p w14:paraId="698CB702" w14:textId="385D4E36"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proofErr w:type="spellStart"/>
      <w:r w:rsidRPr="00CD4BDB">
        <w:rPr>
          <w:rFonts w:ascii="Times New Roman" w:eastAsia="Times New Roman" w:hAnsi="Times New Roman" w:cs="Times New Roman"/>
          <w:b/>
          <w:bCs/>
          <w:kern w:val="0"/>
          <w:sz w:val="24"/>
          <w:szCs w:val="24"/>
          <w:lang w:eastAsia="en-ID"/>
          <w14:ligatures w14:val="none"/>
        </w:rPr>
        <w:t>Administrtive</w:t>
      </w:r>
      <w:proofErr w:type="spellEnd"/>
      <w:r w:rsidRPr="00CD4BDB">
        <w:rPr>
          <w:rFonts w:ascii="Times New Roman" w:eastAsia="Times New Roman" w:hAnsi="Times New Roman" w:cs="Times New Roman"/>
          <w:b/>
          <w:bCs/>
          <w:kern w:val="0"/>
          <w:sz w:val="24"/>
          <w:szCs w:val="24"/>
          <w:lang w:eastAsia="en-ID"/>
          <w14:ligatures w14:val="none"/>
        </w:rPr>
        <w:t xml:space="preserve"> Data Linkages and Longitudinal Insights</w:t>
      </w:r>
    </w:p>
    <w:p w14:paraId="5655C1C9"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growing integration of </w:t>
      </w:r>
      <w:r w:rsidRPr="00CD4BDB">
        <w:rPr>
          <w:rFonts w:ascii="Times New Roman" w:eastAsia="Times New Roman" w:hAnsi="Times New Roman" w:cs="Times New Roman"/>
          <w:b/>
          <w:bCs/>
          <w:kern w:val="0"/>
          <w:sz w:val="24"/>
          <w:szCs w:val="24"/>
          <w:lang w:eastAsia="en-ID"/>
          <w14:ligatures w14:val="none"/>
        </w:rPr>
        <w:t>administrative education and health databases</w:t>
      </w:r>
      <w:r w:rsidRPr="00CD4BDB">
        <w:rPr>
          <w:rFonts w:ascii="Times New Roman" w:eastAsia="Times New Roman" w:hAnsi="Times New Roman" w:cs="Times New Roman"/>
          <w:kern w:val="0"/>
          <w:sz w:val="24"/>
          <w:szCs w:val="24"/>
          <w:lang w:eastAsia="en-ID"/>
          <w14:ligatures w14:val="none"/>
        </w:rPr>
        <w:t xml:space="preserve"> presents new opportunities to evaluate the long-term impacts of school nutrition policies. Linking longitudinal datasets enables comprehensive analyses of how early-life nutrition interventions shape future outcomes in learning, health, and employment (Xu et al., 2022). Such data-driven frameworks allow for evidence-based assessments of program efficacy over time, providing policymakers with valuable insights into return on investment (ROI) and sustainable program design (O’Brien et al., 2021). Administrative data linkages also facilitate cross-sector collaboration between education, health, and social welfare departments, leading to more coordinated and efficient policy interventions.</w:t>
      </w:r>
    </w:p>
    <w:p w14:paraId="32F811BD" w14:textId="14885D44"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71CD51B4"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Synthesis and Implications</w:t>
      </w:r>
    </w:p>
    <w:p w14:paraId="6CC4629F"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Collectively, research underscores that </w:t>
      </w:r>
      <w:r w:rsidRPr="00CD4BDB">
        <w:rPr>
          <w:rFonts w:ascii="Times New Roman" w:eastAsia="Times New Roman" w:hAnsi="Times New Roman" w:cs="Times New Roman"/>
          <w:b/>
          <w:bCs/>
          <w:kern w:val="0"/>
          <w:sz w:val="24"/>
          <w:szCs w:val="24"/>
          <w:lang w:eastAsia="en-ID"/>
          <w14:ligatures w14:val="none"/>
        </w:rPr>
        <w:t>national school meal policies are key drivers of educational equity and long-term socioeconomic development</w:t>
      </w:r>
      <w:r w:rsidRPr="00CD4BDB">
        <w:rPr>
          <w:rFonts w:ascii="Times New Roman" w:eastAsia="Times New Roman" w:hAnsi="Times New Roman" w:cs="Times New Roman"/>
          <w:kern w:val="0"/>
          <w:sz w:val="24"/>
          <w:szCs w:val="24"/>
          <w:lang w:eastAsia="en-ID"/>
          <w14:ligatures w14:val="none"/>
        </w:rPr>
        <w:t>. When implemented alongside supportive food environments and robust evaluation systems, these programs yield substantial returns for individuals and societies alike. Universal access models, supported by data-informed policy decisions, can promote inclusive growth by ensuring that all children—regardless of background—benefit from the cognitive, social, and economic advantages of adequate nutrition. Consequently, integrating nutrition policy within broader educational and public health strategies is essential for strengthening human capital formation and fostering intergenerational wellbeing.</w:t>
      </w:r>
    </w:p>
    <w:p w14:paraId="45084DE5" w14:textId="4E6EBD83"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
    <w:p w14:paraId="6AA125D4"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lastRenderedPageBreak/>
        <w:t>Table 4. Policy, Environment &amp; Long-Run Outcomes (Theme 4.4)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4"/>
        <w:gridCol w:w="1345"/>
        <w:gridCol w:w="1357"/>
        <w:gridCol w:w="1117"/>
        <w:gridCol w:w="1936"/>
        <w:gridCol w:w="1837"/>
      </w:tblGrid>
      <w:tr w:rsidR="00091BDC" w:rsidRPr="00CD4BDB" w14:paraId="28BED038" w14:textId="77777777">
        <w:trPr>
          <w:tblHeader/>
          <w:tblCellSpacing w:w="15" w:type="dxa"/>
        </w:trPr>
        <w:tc>
          <w:tcPr>
            <w:tcW w:w="0" w:type="auto"/>
            <w:vAlign w:val="center"/>
            <w:hideMark/>
          </w:tcPr>
          <w:p w14:paraId="43351579"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Author/Year</w:t>
            </w:r>
          </w:p>
        </w:tc>
        <w:tc>
          <w:tcPr>
            <w:tcW w:w="0" w:type="auto"/>
            <w:vAlign w:val="center"/>
            <w:hideMark/>
          </w:tcPr>
          <w:p w14:paraId="6685AC87"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Policy/Domain</w:t>
            </w:r>
          </w:p>
        </w:tc>
        <w:tc>
          <w:tcPr>
            <w:tcW w:w="0" w:type="auto"/>
            <w:vAlign w:val="center"/>
            <w:hideMark/>
          </w:tcPr>
          <w:p w14:paraId="3138B4A0"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Methods/Tools Used</w:t>
            </w:r>
          </w:p>
        </w:tc>
        <w:tc>
          <w:tcPr>
            <w:tcW w:w="0" w:type="auto"/>
            <w:vAlign w:val="center"/>
            <w:hideMark/>
          </w:tcPr>
          <w:p w14:paraId="67762215"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Findings</w:t>
            </w:r>
          </w:p>
        </w:tc>
        <w:tc>
          <w:tcPr>
            <w:tcW w:w="0" w:type="auto"/>
            <w:vAlign w:val="center"/>
            <w:hideMark/>
          </w:tcPr>
          <w:p w14:paraId="3A06762B"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Equity/Distributional Effects</w:t>
            </w:r>
          </w:p>
        </w:tc>
        <w:tc>
          <w:tcPr>
            <w:tcW w:w="0" w:type="auto"/>
            <w:vAlign w:val="center"/>
            <w:hideMark/>
          </w:tcPr>
          <w:p w14:paraId="24F010BC" w14:textId="77777777" w:rsidR="00091BDC" w:rsidRPr="00CD4BDB" w:rsidRDefault="00091BDC" w:rsidP="00CD4BDB">
            <w:pPr>
              <w:spacing w:after="0"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Future Directions/Research Needs</w:t>
            </w:r>
          </w:p>
        </w:tc>
      </w:tr>
      <w:tr w:rsidR="00091BDC" w:rsidRPr="00CD4BDB" w14:paraId="18562E5B" w14:textId="77777777">
        <w:trPr>
          <w:tblCellSpacing w:w="15" w:type="dxa"/>
        </w:trPr>
        <w:tc>
          <w:tcPr>
            <w:tcW w:w="0" w:type="auto"/>
            <w:vAlign w:val="center"/>
            <w:hideMark/>
          </w:tcPr>
          <w:p w14:paraId="3B46B89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Zhou et al., 2024</w:t>
            </w:r>
          </w:p>
        </w:tc>
        <w:tc>
          <w:tcPr>
            <w:tcW w:w="0" w:type="auto"/>
            <w:vAlign w:val="center"/>
            <w:hideMark/>
          </w:tcPr>
          <w:p w14:paraId="2324D7FE"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China – Nutrition Improvement Program</w:t>
            </w:r>
          </w:p>
        </w:tc>
        <w:tc>
          <w:tcPr>
            <w:tcW w:w="0" w:type="auto"/>
            <w:vAlign w:val="center"/>
            <w:hideMark/>
          </w:tcPr>
          <w:p w14:paraId="577F0244"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Cohort (Difference-in-Differences)</w:t>
            </w:r>
          </w:p>
        </w:tc>
        <w:tc>
          <w:tcPr>
            <w:tcW w:w="0" w:type="auto"/>
            <w:vAlign w:val="center"/>
            <w:hideMark/>
          </w:tcPr>
          <w:p w14:paraId="3E86C01F"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Employment (+6.5pp), ↑ wages (+12.4%), ↑ education and health scores</w:t>
            </w:r>
          </w:p>
        </w:tc>
        <w:tc>
          <w:tcPr>
            <w:tcW w:w="0" w:type="auto"/>
            <w:vAlign w:val="center"/>
            <w:hideMark/>
          </w:tcPr>
          <w:p w14:paraId="528541CC"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Stronger effects for females &amp; low-SES groups</w:t>
            </w:r>
          </w:p>
        </w:tc>
        <w:tc>
          <w:tcPr>
            <w:tcW w:w="0" w:type="auto"/>
            <w:vAlign w:val="center"/>
            <w:hideMark/>
          </w:tcPr>
          <w:p w14:paraId="5D3A1576"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Expand to other LMICs; test spillover effects</w:t>
            </w:r>
          </w:p>
        </w:tc>
      </w:tr>
      <w:tr w:rsidR="00091BDC" w:rsidRPr="00CD4BDB" w14:paraId="752C557C" w14:textId="77777777">
        <w:trPr>
          <w:tblCellSpacing w:w="15" w:type="dxa"/>
        </w:trPr>
        <w:tc>
          <w:tcPr>
            <w:tcW w:w="0" w:type="auto"/>
            <w:vAlign w:val="center"/>
            <w:hideMark/>
          </w:tcPr>
          <w:p w14:paraId="3D3D0E68"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França et al., 2024</w:t>
            </w:r>
          </w:p>
        </w:tc>
        <w:tc>
          <w:tcPr>
            <w:tcW w:w="0" w:type="auto"/>
            <w:vAlign w:val="center"/>
            <w:hideMark/>
          </w:tcPr>
          <w:p w14:paraId="6A5E9235"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Brazil – PNAE and school food environments</w:t>
            </w:r>
          </w:p>
        </w:tc>
        <w:tc>
          <w:tcPr>
            <w:tcW w:w="0" w:type="auto"/>
            <w:vAlign w:val="center"/>
            <w:hideMark/>
          </w:tcPr>
          <w:p w14:paraId="491BE0B5"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GIS mapping (800m buffers)</w:t>
            </w:r>
          </w:p>
        </w:tc>
        <w:tc>
          <w:tcPr>
            <w:tcW w:w="0" w:type="auto"/>
            <w:vAlign w:val="center"/>
            <w:hideMark/>
          </w:tcPr>
          <w:p w14:paraId="4D885758"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40% deserts, 20% swamps; food access strongly tied to dietary outcomes</w:t>
            </w:r>
          </w:p>
        </w:tc>
        <w:tc>
          <w:tcPr>
            <w:tcW w:w="0" w:type="auto"/>
            <w:vAlign w:val="center"/>
            <w:hideMark/>
          </w:tcPr>
          <w:p w14:paraId="028BB1C6"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Food deserts linked with social vulnerability</w:t>
            </w:r>
          </w:p>
        </w:tc>
        <w:tc>
          <w:tcPr>
            <w:tcW w:w="0" w:type="auto"/>
            <w:vAlign w:val="center"/>
            <w:hideMark/>
          </w:tcPr>
          <w:p w14:paraId="442FB47F"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Strengthen local food systems &amp; PNAE integration</w:t>
            </w:r>
          </w:p>
        </w:tc>
      </w:tr>
      <w:tr w:rsidR="00091BDC" w:rsidRPr="00CD4BDB" w14:paraId="72B95369" w14:textId="77777777">
        <w:trPr>
          <w:tblCellSpacing w:w="15" w:type="dxa"/>
        </w:trPr>
        <w:tc>
          <w:tcPr>
            <w:tcW w:w="0" w:type="auto"/>
            <w:vAlign w:val="center"/>
            <w:hideMark/>
          </w:tcPr>
          <w:p w14:paraId="40D875BA"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Norway Study, 2022</w:t>
            </w:r>
          </w:p>
        </w:tc>
        <w:tc>
          <w:tcPr>
            <w:tcW w:w="0" w:type="auto"/>
            <w:vAlign w:val="center"/>
            <w:hideMark/>
          </w:tcPr>
          <w:p w14:paraId="4B2927D4"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Universal free meal policy</w:t>
            </w:r>
          </w:p>
        </w:tc>
        <w:tc>
          <w:tcPr>
            <w:tcW w:w="0" w:type="auto"/>
            <w:vAlign w:val="center"/>
            <w:hideMark/>
          </w:tcPr>
          <w:p w14:paraId="04E9BFE5"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Qualitative interviews</w:t>
            </w:r>
          </w:p>
        </w:tc>
        <w:tc>
          <w:tcPr>
            <w:tcW w:w="0" w:type="auto"/>
            <w:vAlign w:val="center"/>
            <w:hideMark/>
          </w:tcPr>
          <w:p w14:paraId="1673596F"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Improved attendance &amp; social cohesion; reduced stigma</w:t>
            </w:r>
          </w:p>
        </w:tc>
        <w:tc>
          <w:tcPr>
            <w:tcW w:w="0" w:type="auto"/>
            <w:vAlign w:val="center"/>
            <w:hideMark/>
          </w:tcPr>
          <w:p w14:paraId="623AB55D"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Promoted equity and collective meal culture</w:t>
            </w:r>
          </w:p>
        </w:tc>
        <w:tc>
          <w:tcPr>
            <w:tcW w:w="0" w:type="auto"/>
            <w:vAlign w:val="center"/>
            <w:hideMark/>
          </w:tcPr>
          <w:p w14:paraId="014C99EA"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Quantitative tracking of cognitive and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outcomes</w:t>
            </w:r>
          </w:p>
        </w:tc>
      </w:tr>
      <w:tr w:rsidR="00091BDC" w:rsidRPr="00CD4BDB" w14:paraId="25B6944E" w14:textId="77777777">
        <w:trPr>
          <w:tblCellSpacing w:w="15" w:type="dxa"/>
        </w:trPr>
        <w:tc>
          <w:tcPr>
            <w:tcW w:w="0" w:type="auto"/>
            <w:vAlign w:val="center"/>
            <w:hideMark/>
          </w:tcPr>
          <w:p w14:paraId="4AC1E632"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HAPPEN/SAIL, 2025</w:t>
            </w:r>
          </w:p>
        </w:tc>
        <w:tc>
          <w:tcPr>
            <w:tcW w:w="0" w:type="auto"/>
            <w:vAlign w:val="center"/>
            <w:hideMark/>
          </w:tcPr>
          <w:p w14:paraId="0BA8E5B5"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Wales – Data linkage cohort</w:t>
            </w:r>
          </w:p>
        </w:tc>
        <w:tc>
          <w:tcPr>
            <w:tcW w:w="0" w:type="auto"/>
            <w:vAlign w:val="center"/>
            <w:hideMark/>
          </w:tcPr>
          <w:p w14:paraId="6981068D"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Record linkage (health, education, social data)</w:t>
            </w:r>
          </w:p>
        </w:tc>
        <w:tc>
          <w:tcPr>
            <w:tcW w:w="0" w:type="auto"/>
            <w:vAlign w:val="center"/>
            <w:hideMark/>
          </w:tcPr>
          <w:p w14:paraId="15E53919"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Enables population-level policy evaluation</w:t>
            </w:r>
          </w:p>
        </w:tc>
        <w:tc>
          <w:tcPr>
            <w:tcW w:w="0" w:type="auto"/>
            <w:vAlign w:val="center"/>
            <w:hideMark/>
          </w:tcPr>
          <w:p w14:paraId="15CC40D0"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Allows SES-stratified &amp; longitudinal analysis</w:t>
            </w:r>
          </w:p>
        </w:tc>
        <w:tc>
          <w:tcPr>
            <w:tcW w:w="0" w:type="auto"/>
            <w:vAlign w:val="center"/>
            <w:hideMark/>
          </w:tcPr>
          <w:p w14:paraId="57DF1F0A"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Use to assess ROI of universal school meals</w:t>
            </w:r>
          </w:p>
        </w:tc>
      </w:tr>
      <w:tr w:rsidR="00091BDC" w:rsidRPr="00CD4BDB" w14:paraId="659A73CE" w14:textId="77777777">
        <w:trPr>
          <w:tblCellSpacing w:w="15" w:type="dxa"/>
        </w:trPr>
        <w:tc>
          <w:tcPr>
            <w:tcW w:w="0" w:type="auto"/>
            <w:vAlign w:val="center"/>
            <w:hideMark/>
          </w:tcPr>
          <w:p w14:paraId="68644DB9"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proofErr w:type="spellStart"/>
            <w:r w:rsidRPr="00CD4BDB">
              <w:rPr>
                <w:rFonts w:ascii="Times New Roman" w:eastAsia="Times New Roman" w:hAnsi="Times New Roman" w:cs="Times New Roman"/>
                <w:kern w:val="0"/>
                <w:sz w:val="24"/>
                <w:szCs w:val="24"/>
                <w:lang w:eastAsia="en-ID"/>
                <w14:ligatures w14:val="none"/>
              </w:rPr>
              <w:t>Lokossa</w:t>
            </w:r>
            <w:proofErr w:type="spellEnd"/>
            <w:r w:rsidRPr="00CD4BDB">
              <w:rPr>
                <w:rFonts w:ascii="Times New Roman" w:eastAsia="Times New Roman" w:hAnsi="Times New Roman" w:cs="Times New Roman"/>
                <w:kern w:val="0"/>
                <w:sz w:val="24"/>
                <w:szCs w:val="24"/>
                <w:lang w:eastAsia="en-ID"/>
                <w14:ligatures w14:val="none"/>
              </w:rPr>
              <w:t>, 2023</w:t>
            </w:r>
          </w:p>
        </w:tc>
        <w:tc>
          <w:tcPr>
            <w:tcW w:w="0" w:type="auto"/>
            <w:vAlign w:val="center"/>
            <w:hideMark/>
          </w:tcPr>
          <w:p w14:paraId="6B06A6C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Benin – School meal participation</w:t>
            </w:r>
          </w:p>
        </w:tc>
        <w:tc>
          <w:tcPr>
            <w:tcW w:w="0" w:type="auto"/>
            <w:vAlign w:val="center"/>
            <w:hideMark/>
          </w:tcPr>
          <w:p w14:paraId="7939ABDC"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Cross-sectional survey</w:t>
            </w:r>
          </w:p>
        </w:tc>
        <w:tc>
          <w:tcPr>
            <w:tcW w:w="0" w:type="auto"/>
            <w:vAlign w:val="center"/>
            <w:hideMark/>
          </w:tcPr>
          <w:p w14:paraId="34830957"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Non-participants had lower dietary diversity</w:t>
            </w:r>
          </w:p>
        </w:tc>
        <w:tc>
          <w:tcPr>
            <w:tcW w:w="0" w:type="auto"/>
            <w:vAlign w:val="center"/>
            <w:hideMark/>
          </w:tcPr>
          <w:p w14:paraId="220A102B"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SES &amp; rural gaps persist</w:t>
            </w:r>
          </w:p>
        </w:tc>
        <w:tc>
          <w:tcPr>
            <w:tcW w:w="0" w:type="auto"/>
            <w:vAlign w:val="center"/>
            <w:hideMark/>
          </w:tcPr>
          <w:p w14:paraId="771B18FC" w14:textId="77777777" w:rsidR="00091BDC" w:rsidRPr="00CD4BDB" w:rsidRDefault="00091BDC" w:rsidP="00CD4BDB">
            <w:pPr>
              <w:spacing w:after="0"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Integrate equity metrics into national frameworks</w:t>
            </w:r>
          </w:p>
        </w:tc>
      </w:tr>
    </w:tbl>
    <w:p w14:paraId="71599434"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i/>
          <w:iCs/>
          <w:kern w:val="0"/>
          <w:sz w:val="24"/>
          <w:szCs w:val="24"/>
          <w:lang w:eastAsia="en-ID"/>
          <w14:ligatures w14:val="none"/>
        </w:rPr>
        <w:t>This table consolidates evidence illustrating how school nutrition policies and local environments jointly shape health, education, and economic outcomes, advancing equitable human capital development.</w:t>
      </w:r>
    </w:p>
    <w:p w14:paraId="6EF11556" w14:textId="5B5A2A0F" w:rsidR="00091BDC" w:rsidRPr="00CD4BDB" w:rsidRDefault="00091BDC" w:rsidP="00CD4BDB">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D"/>
          <w14:ligatures w14:val="none"/>
        </w:rPr>
      </w:pPr>
      <w:r w:rsidRPr="00CD4BDB">
        <w:rPr>
          <w:rFonts w:ascii="Times New Roman" w:eastAsia="Times New Roman" w:hAnsi="Times New Roman" w:cs="Times New Roman"/>
          <w:b/>
          <w:bCs/>
          <w:kern w:val="36"/>
          <w:sz w:val="24"/>
          <w:szCs w:val="24"/>
          <w:lang w:eastAsia="en-ID"/>
          <w14:ligatures w14:val="none"/>
        </w:rPr>
        <w:t>Discussion</w:t>
      </w:r>
    </w:p>
    <w:p w14:paraId="31CC8592"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lastRenderedPageBreak/>
        <w:t xml:space="preserve">Integrated </w:t>
      </w:r>
      <w:r w:rsidRPr="00CD4BDB">
        <w:rPr>
          <w:rFonts w:ascii="Times New Roman" w:eastAsia="Times New Roman" w:hAnsi="Times New Roman" w:cs="Times New Roman"/>
          <w:b/>
          <w:bCs/>
          <w:kern w:val="0"/>
          <w:sz w:val="24"/>
          <w:szCs w:val="24"/>
          <w:lang w:eastAsia="en-ID"/>
          <w14:ligatures w14:val="none"/>
        </w:rPr>
        <w:t>school nutrition strategies</w:t>
      </w:r>
      <w:r w:rsidRPr="00CD4BDB">
        <w:rPr>
          <w:rFonts w:ascii="Times New Roman" w:eastAsia="Times New Roman" w:hAnsi="Times New Roman" w:cs="Times New Roman"/>
          <w:kern w:val="0"/>
          <w:sz w:val="24"/>
          <w:szCs w:val="24"/>
          <w:lang w:eastAsia="en-ID"/>
          <w14:ligatures w14:val="none"/>
        </w:rPr>
        <w:t xml:space="preserve"> play a pivotal role in addressing inequalities in both health and education outcomes. These comprehensive strategies—often combining </w:t>
      </w:r>
      <w:r w:rsidRPr="00CD4BDB">
        <w:rPr>
          <w:rFonts w:ascii="Times New Roman" w:eastAsia="Times New Roman" w:hAnsi="Times New Roman" w:cs="Times New Roman"/>
          <w:b/>
          <w:bCs/>
          <w:kern w:val="0"/>
          <w:sz w:val="24"/>
          <w:szCs w:val="24"/>
          <w:lang w:eastAsia="en-ID"/>
          <w14:ligatures w14:val="none"/>
        </w:rPr>
        <w:t>school meal programs, nutrition education, and health-promoting environments</w:t>
      </w:r>
      <w:r w:rsidRPr="00CD4BDB">
        <w:rPr>
          <w:rFonts w:ascii="Times New Roman" w:eastAsia="Times New Roman" w:hAnsi="Times New Roman" w:cs="Times New Roman"/>
          <w:kern w:val="0"/>
          <w:sz w:val="24"/>
          <w:szCs w:val="24"/>
          <w:lang w:eastAsia="en-ID"/>
          <w14:ligatures w14:val="none"/>
        </w:rPr>
        <w:t xml:space="preserve">—create a holistic framework for improving child wellbeing and learning potential. By ensuring equitable access to nutritious meals and education about healthy eating, schools become critical spaces for advancing </w:t>
      </w:r>
      <w:r w:rsidRPr="00CD4BDB">
        <w:rPr>
          <w:rFonts w:ascii="Times New Roman" w:eastAsia="Times New Roman" w:hAnsi="Times New Roman" w:cs="Times New Roman"/>
          <w:b/>
          <w:bCs/>
          <w:kern w:val="0"/>
          <w:sz w:val="24"/>
          <w:szCs w:val="24"/>
          <w:lang w:eastAsia="en-ID"/>
          <w14:ligatures w14:val="none"/>
        </w:rPr>
        <w:t>food security, cognitive development, and academic engagement</w:t>
      </w:r>
      <w:r w:rsidRPr="00CD4BDB">
        <w:rPr>
          <w:rFonts w:ascii="Times New Roman" w:eastAsia="Times New Roman" w:hAnsi="Times New Roman" w:cs="Times New Roman"/>
          <w:kern w:val="0"/>
          <w:sz w:val="24"/>
          <w:szCs w:val="24"/>
          <w:lang w:eastAsia="en-ID"/>
          <w14:ligatures w14:val="none"/>
        </w:rPr>
        <w:t xml:space="preserve">, particularly for children from disadvantaged or food-insecure backgrounds (Rector et al., 2021). Research consistently highlights that these interventions enhance </w:t>
      </w:r>
      <w:r w:rsidRPr="00CD4BDB">
        <w:rPr>
          <w:rFonts w:ascii="Times New Roman" w:eastAsia="Times New Roman" w:hAnsi="Times New Roman" w:cs="Times New Roman"/>
          <w:b/>
          <w:bCs/>
          <w:kern w:val="0"/>
          <w:sz w:val="24"/>
          <w:szCs w:val="24"/>
          <w:lang w:eastAsia="en-ID"/>
          <w14:ligatures w14:val="none"/>
        </w:rPr>
        <w:t>attendance and retention rates</w:t>
      </w:r>
      <w:r w:rsidRPr="00CD4BDB">
        <w:rPr>
          <w:rFonts w:ascii="Times New Roman" w:eastAsia="Times New Roman" w:hAnsi="Times New Roman" w:cs="Times New Roman"/>
          <w:kern w:val="0"/>
          <w:sz w:val="24"/>
          <w:szCs w:val="24"/>
          <w:lang w:eastAsia="en-ID"/>
          <w14:ligatures w14:val="none"/>
        </w:rPr>
        <w:t xml:space="preserve">, especially among marginalized groups such as girls and low-income students, thereby promoting gender equality and social inclusion within education systems (Rector et al., 2021). The inclusive nature of </w:t>
      </w:r>
      <w:r w:rsidRPr="00CD4BDB">
        <w:rPr>
          <w:rFonts w:ascii="Times New Roman" w:eastAsia="Times New Roman" w:hAnsi="Times New Roman" w:cs="Times New Roman"/>
          <w:b/>
          <w:bCs/>
          <w:kern w:val="0"/>
          <w:sz w:val="24"/>
          <w:szCs w:val="24"/>
          <w:lang w:eastAsia="en-ID"/>
          <w14:ligatures w14:val="none"/>
        </w:rPr>
        <w:t>universal school meal policies</w:t>
      </w:r>
      <w:r w:rsidRPr="00CD4BDB">
        <w:rPr>
          <w:rFonts w:ascii="Times New Roman" w:eastAsia="Times New Roman" w:hAnsi="Times New Roman" w:cs="Times New Roman"/>
          <w:kern w:val="0"/>
          <w:sz w:val="24"/>
          <w:szCs w:val="24"/>
          <w:lang w:eastAsia="en-ID"/>
          <w14:ligatures w14:val="none"/>
        </w:rPr>
        <w:t xml:space="preserve"> also reduces stigma associated with targeted feeding schemes, fostering dignity and participation among all students while building a stronger sense of community and equity (Teo et al., 2019).</w:t>
      </w:r>
    </w:p>
    <w:p w14:paraId="0E2CF94D"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The broader impact of integrated school nutrition initiatives extends beyond immediate dietary improvements. By linking </w:t>
      </w:r>
      <w:r w:rsidRPr="00CD4BDB">
        <w:rPr>
          <w:rFonts w:ascii="Times New Roman" w:eastAsia="Times New Roman" w:hAnsi="Times New Roman" w:cs="Times New Roman"/>
          <w:b/>
          <w:bCs/>
          <w:kern w:val="0"/>
          <w:sz w:val="24"/>
          <w:szCs w:val="24"/>
          <w:lang w:eastAsia="en-ID"/>
          <w14:ligatures w14:val="none"/>
        </w:rPr>
        <w:t>nutrition education with accessible healthy meals</w:t>
      </w:r>
      <w:r w:rsidRPr="00CD4BDB">
        <w:rPr>
          <w:rFonts w:ascii="Times New Roman" w:eastAsia="Times New Roman" w:hAnsi="Times New Roman" w:cs="Times New Roman"/>
          <w:kern w:val="0"/>
          <w:sz w:val="24"/>
          <w:szCs w:val="24"/>
          <w:lang w:eastAsia="en-ID"/>
          <w14:ligatures w14:val="none"/>
        </w:rPr>
        <w:t xml:space="preserve">, these programs establish sustainable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patterns that contribute to long-term wellbeing and human capital formation. Nutrition education equips students with the knowledge to make informed food choices, while consistent access to healthy meals reinforces these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in practice. This synergy strengthens both short-term academic performance and long-term productivity, supporting evidence that investment in child nutrition yields significant social and economic returns. Schools thus serve as pivotal institutions for intergenerational change—where learning and eating converge to shape healthier, more equitable societies.</w:t>
      </w:r>
    </w:p>
    <w:p w14:paraId="6E64A87B"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However, achieving global comparability in the assessment of school nutrition interventions remains challenging due to significant </w:t>
      </w:r>
      <w:r w:rsidRPr="00CD4BDB">
        <w:rPr>
          <w:rFonts w:ascii="Times New Roman" w:eastAsia="Times New Roman" w:hAnsi="Times New Roman" w:cs="Times New Roman"/>
          <w:b/>
          <w:bCs/>
          <w:kern w:val="0"/>
          <w:sz w:val="24"/>
          <w:szCs w:val="24"/>
          <w:lang w:eastAsia="en-ID"/>
          <w14:ligatures w14:val="none"/>
        </w:rPr>
        <w:t>methodological and contextual differences</w:t>
      </w:r>
      <w:r w:rsidRPr="00CD4BDB">
        <w:rPr>
          <w:rFonts w:ascii="Times New Roman" w:eastAsia="Times New Roman" w:hAnsi="Times New Roman" w:cs="Times New Roman"/>
          <w:kern w:val="0"/>
          <w:sz w:val="24"/>
          <w:szCs w:val="24"/>
          <w:lang w:eastAsia="en-ID"/>
          <w14:ligatures w14:val="none"/>
        </w:rPr>
        <w:t>. Variations in local dietary norms, educational infrastructures, and socioeconomic conditions affect both program implementation and measured outcomes (</w:t>
      </w:r>
      <w:proofErr w:type="spellStart"/>
      <w:r w:rsidRPr="00CD4BDB">
        <w:rPr>
          <w:rFonts w:ascii="Times New Roman" w:eastAsia="Times New Roman" w:hAnsi="Times New Roman" w:cs="Times New Roman"/>
          <w:kern w:val="0"/>
          <w:sz w:val="24"/>
          <w:szCs w:val="24"/>
          <w:lang w:eastAsia="en-ID"/>
          <w14:ligatures w14:val="none"/>
        </w:rPr>
        <w:t>Matijasevich</w:t>
      </w:r>
      <w:proofErr w:type="spellEnd"/>
      <w:r w:rsidRPr="00CD4BDB">
        <w:rPr>
          <w:rFonts w:ascii="Times New Roman" w:eastAsia="Times New Roman" w:hAnsi="Times New Roman" w:cs="Times New Roman"/>
          <w:kern w:val="0"/>
          <w:sz w:val="24"/>
          <w:szCs w:val="24"/>
          <w:lang w:eastAsia="en-ID"/>
          <w14:ligatures w14:val="none"/>
        </w:rPr>
        <w:t xml:space="preserve"> et al., 2010). Moreover, inconsistencies in research design—such as reliance on </w:t>
      </w:r>
      <w:r w:rsidRPr="00CD4BDB">
        <w:rPr>
          <w:rFonts w:ascii="Times New Roman" w:eastAsia="Times New Roman" w:hAnsi="Times New Roman" w:cs="Times New Roman"/>
          <w:b/>
          <w:bCs/>
          <w:kern w:val="0"/>
          <w:sz w:val="24"/>
          <w:szCs w:val="24"/>
          <w:lang w:eastAsia="en-ID"/>
          <w14:ligatures w14:val="none"/>
        </w:rPr>
        <w:t>self-reported dietary intake data</w:t>
      </w:r>
      <w:r w:rsidRPr="00CD4BDB">
        <w:rPr>
          <w:rFonts w:ascii="Times New Roman" w:eastAsia="Times New Roman" w:hAnsi="Times New Roman" w:cs="Times New Roman"/>
          <w:kern w:val="0"/>
          <w:sz w:val="24"/>
          <w:szCs w:val="24"/>
          <w:lang w:eastAsia="en-ID"/>
          <w14:ligatures w14:val="none"/>
        </w:rPr>
        <w:t xml:space="preserve"> versus observational or administrative measures—complicate data reliability and comparability (</w:t>
      </w:r>
      <w:proofErr w:type="spellStart"/>
      <w:r w:rsidRPr="00CD4BDB">
        <w:rPr>
          <w:rFonts w:ascii="Times New Roman" w:eastAsia="Times New Roman" w:hAnsi="Times New Roman" w:cs="Times New Roman"/>
          <w:kern w:val="0"/>
          <w:sz w:val="24"/>
          <w:szCs w:val="24"/>
          <w:lang w:eastAsia="en-ID"/>
          <w14:ligatures w14:val="none"/>
        </w:rPr>
        <w:t>Varí</w:t>
      </w:r>
      <w:proofErr w:type="spellEnd"/>
      <w:r w:rsidRPr="00CD4BDB">
        <w:rPr>
          <w:rFonts w:ascii="Times New Roman" w:eastAsia="Times New Roman" w:hAnsi="Times New Roman" w:cs="Times New Roman"/>
          <w:kern w:val="0"/>
          <w:sz w:val="24"/>
          <w:szCs w:val="24"/>
          <w:lang w:eastAsia="en-ID"/>
          <w14:ligatures w14:val="none"/>
        </w:rPr>
        <w:t xml:space="preserve"> et al., 2022; </w:t>
      </w:r>
      <w:proofErr w:type="spellStart"/>
      <w:r w:rsidRPr="00CD4BDB">
        <w:rPr>
          <w:rFonts w:ascii="Times New Roman" w:eastAsia="Times New Roman" w:hAnsi="Times New Roman" w:cs="Times New Roman"/>
          <w:kern w:val="0"/>
          <w:sz w:val="24"/>
          <w:szCs w:val="24"/>
          <w:lang w:eastAsia="en-ID"/>
          <w14:ligatures w14:val="none"/>
        </w:rPr>
        <w:t>Wisnuwardani</w:t>
      </w:r>
      <w:proofErr w:type="spellEnd"/>
      <w:r w:rsidRPr="00CD4BDB">
        <w:rPr>
          <w:rFonts w:ascii="Times New Roman" w:eastAsia="Times New Roman" w:hAnsi="Times New Roman" w:cs="Times New Roman"/>
          <w:kern w:val="0"/>
          <w:sz w:val="24"/>
          <w:szCs w:val="24"/>
          <w:lang w:eastAsia="en-ID"/>
          <w14:ligatures w14:val="none"/>
        </w:rPr>
        <w:t xml:space="preserve"> et al., 2023). The heterogeneity in evaluation frameworks also makes it difficult to generalize findings or assess relative effectiveness across regions. For instance, while some studies focus on cognitive and academic outcomes, others emphasize nutritional biomarkers or </w:t>
      </w:r>
      <w:proofErr w:type="spellStart"/>
      <w:r w:rsidRPr="00CD4BDB">
        <w:rPr>
          <w:rFonts w:ascii="Times New Roman" w:eastAsia="Times New Roman" w:hAnsi="Times New Roman" w:cs="Times New Roman"/>
          <w:kern w:val="0"/>
          <w:sz w:val="24"/>
          <w:szCs w:val="24"/>
          <w:lang w:eastAsia="en-ID"/>
          <w14:ligatures w14:val="none"/>
        </w:rPr>
        <w:t>behavioral</w:t>
      </w:r>
      <w:proofErr w:type="spellEnd"/>
      <w:r w:rsidRPr="00CD4BDB">
        <w:rPr>
          <w:rFonts w:ascii="Times New Roman" w:eastAsia="Times New Roman" w:hAnsi="Times New Roman" w:cs="Times New Roman"/>
          <w:kern w:val="0"/>
          <w:sz w:val="24"/>
          <w:szCs w:val="24"/>
          <w:lang w:eastAsia="en-ID"/>
          <w14:ligatures w14:val="none"/>
        </w:rPr>
        <w:t xml:space="preserve"> shifts, resulting in fragmented insights into program impact (Samnani et al., 2024).</w:t>
      </w:r>
    </w:p>
    <w:p w14:paraId="26A068A7"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To overcome these challenges, there is an urgent need for </w:t>
      </w:r>
      <w:r w:rsidRPr="00CD4BDB">
        <w:rPr>
          <w:rFonts w:ascii="Times New Roman" w:eastAsia="Times New Roman" w:hAnsi="Times New Roman" w:cs="Times New Roman"/>
          <w:b/>
          <w:bCs/>
          <w:kern w:val="0"/>
          <w:sz w:val="24"/>
          <w:szCs w:val="24"/>
          <w:lang w:eastAsia="en-ID"/>
          <w14:ligatures w14:val="none"/>
        </w:rPr>
        <w:t>standardized methodological frameworks</w:t>
      </w:r>
      <w:r w:rsidRPr="00CD4BDB">
        <w:rPr>
          <w:rFonts w:ascii="Times New Roman" w:eastAsia="Times New Roman" w:hAnsi="Times New Roman" w:cs="Times New Roman"/>
          <w:kern w:val="0"/>
          <w:sz w:val="24"/>
          <w:szCs w:val="24"/>
          <w:lang w:eastAsia="en-ID"/>
          <w14:ligatures w14:val="none"/>
        </w:rPr>
        <w:t xml:space="preserve"> and </w:t>
      </w:r>
      <w:r w:rsidRPr="00CD4BDB">
        <w:rPr>
          <w:rFonts w:ascii="Times New Roman" w:eastAsia="Times New Roman" w:hAnsi="Times New Roman" w:cs="Times New Roman"/>
          <w:b/>
          <w:bCs/>
          <w:kern w:val="0"/>
          <w:sz w:val="24"/>
          <w:szCs w:val="24"/>
          <w:lang w:eastAsia="en-ID"/>
          <w14:ligatures w14:val="none"/>
        </w:rPr>
        <w:t>cross-sector collaboration</w:t>
      </w:r>
      <w:r w:rsidRPr="00CD4BDB">
        <w:rPr>
          <w:rFonts w:ascii="Times New Roman" w:eastAsia="Times New Roman" w:hAnsi="Times New Roman" w:cs="Times New Roman"/>
          <w:kern w:val="0"/>
          <w:sz w:val="24"/>
          <w:szCs w:val="24"/>
          <w:lang w:eastAsia="en-ID"/>
          <w14:ligatures w14:val="none"/>
        </w:rPr>
        <w:t xml:space="preserve"> in evaluating school nutrition programs. Employing mixed-method designs that integrate quantitative impact measures with qualitative insights can better capture the complexity of nutrition–education interactions. Additionally, </w:t>
      </w:r>
      <w:r w:rsidRPr="00CD4BDB">
        <w:rPr>
          <w:rFonts w:ascii="Times New Roman" w:eastAsia="Times New Roman" w:hAnsi="Times New Roman" w:cs="Times New Roman"/>
          <w:b/>
          <w:bCs/>
          <w:kern w:val="0"/>
          <w:sz w:val="24"/>
          <w:szCs w:val="24"/>
          <w:lang w:eastAsia="en-ID"/>
          <w14:ligatures w14:val="none"/>
        </w:rPr>
        <w:t>longitudinal and administrative data linkages</w:t>
      </w:r>
      <w:r w:rsidRPr="00CD4BDB">
        <w:rPr>
          <w:rFonts w:ascii="Times New Roman" w:eastAsia="Times New Roman" w:hAnsi="Times New Roman" w:cs="Times New Roman"/>
          <w:kern w:val="0"/>
          <w:sz w:val="24"/>
          <w:szCs w:val="24"/>
          <w:lang w:eastAsia="en-ID"/>
          <w14:ligatures w14:val="none"/>
        </w:rPr>
        <w:t xml:space="preserve"> across education, health, and </w:t>
      </w:r>
      <w:proofErr w:type="spellStart"/>
      <w:r w:rsidRPr="00CD4BDB">
        <w:rPr>
          <w:rFonts w:ascii="Times New Roman" w:eastAsia="Times New Roman" w:hAnsi="Times New Roman" w:cs="Times New Roman"/>
          <w:kern w:val="0"/>
          <w:sz w:val="24"/>
          <w:szCs w:val="24"/>
          <w:lang w:eastAsia="en-ID"/>
          <w14:ligatures w14:val="none"/>
        </w:rPr>
        <w:t>labor</w:t>
      </w:r>
      <w:proofErr w:type="spellEnd"/>
      <w:r w:rsidRPr="00CD4BDB">
        <w:rPr>
          <w:rFonts w:ascii="Times New Roman" w:eastAsia="Times New Roman" w:hAnsi="Times New Roman" w:cs="Times New Roman"/>
          <w:kern w:val="0"/>
          <w:sz w:val="24"/>
          <w:szCs w:val="24"/>
          <w:lang w:eastAsia="en-ID"/>
          <w14:ligatures w14:val="none"/>
        </w:rPr>
        <w:t xml:space="preserve"> sectors can illuminate the long-run effects of school nutrition initiatives on employment, income, and productivity outcomes. Such evidence-based evaluation would enable policymakers to quantify the true </w:t>
      </w:r>
      <w:r w:rsidRPr="00CD4BDB">
        <w:rPr>
          <w:rFonts w:ascii="Times New Roman" w:eastAsia="Times New Roman" w:hAnsi="Times New Roman" w:cs="Times New Roman"/>
          <w:b/>
          <w:bCs/>
          <w:kern w:val="0"/>
          <w:sz w:val="24"/>
          <w:szCs w:val="24"/>
          <w:lang w:eastAsia="en-ID"/>
          <w14:ligatures w14:val="none"/>
        </w:rPr>
        <w:t>return on investment (ROI)</w:t>
      </w:r>
      <w:r w:rsidRPr="00CD4BDB">
        <w:rPr>
          <w:rFonts w:ascii="Times New Roman" w:eastAsia="Times New Roman" w:hAnsi="Times New Roman" w:cs="Times New Roman"/>
          <w:kern w:val="0"/>
          <w:sz w:val="24"/>
          <w:szCs w:val="24"/>
          <w:lang w:eastAsia="en-ID"/>
          <w14:ligatures w14:val="none"/>
        </w:rPr>
        <w:t xml:space="preserve"> of integrated nutrition strategies and guide sustainable policy formulation.</w:t>
      </w:r>
    </w:p>
    <w:p w14:paraId="72DB8CC8"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In conclusion, integrated school nutrition strategies are not merely health interventions but </w:t>
      </w:r>
      <w:r w:rsidRPr="00CD4BDB">
        <w:rPr>
          <w:rFonts w:ascii="Times New Roman" w:eastAsia="Times New Roman" w:hAnsi="Times New Roman" w:cs="Times New Roman"/>
          <w:b/>
          <w:bCs/>
          <w:kern w:val="0"/>
          <w:sz w:val="24"/>
          <w:szCs w:val="24"/>
          <w:lang w:eastAsia="en-ID"/>
          <w14:ligatures w14:val="none"/>
        </w:rPr>
        <w:t>equity-driven systems</w:t>
      </w:r>
      <w:r w:rsidRPr="00CD4BDB">
        <w:rPr>
          <w:rFonts w:ascii="Times New Roman" w:eastAsia="Times New Roman" w:hAnsi="Times New Roman" w:cs="Times New Roman"/>
          <w:kern w:val="0"/>
          <w:sz w:val="24"/>
          <w:szCs w:val="24"/>
          <w:lang w:eastAsia="en-ID"/>
          <w14:ligatures w14:val="none"/>
        </w:rPr>
        <w:t xml:space="preserve"> that advance social justice, educational opportunity, and long-term human development. Their success depends on the alignment of nutrition, education, and policy domains, supported by context-sensitive implementation and rigorous evaluation. </w:t>
      </w:r>
      <w:r w:rsidRPr="00CD4BDB">
        <w:rPr>
          <w:rFonts w:ascii="Times New Roman" w:eastAsia="Times New Roman" w:hAnsi="Times New Roman" w:cs="Times New Roman"/>
          <w:kern w:val="0"/>
          <w:sz w:val="24"/>
          <w:szCs w:val="24"/>
          <w:lang w:eastAsia="en-ID"/>
          <w14:ligatures w14:val="none"/>
        </w:rPr>
        <w:lastRenderedPageBreak/>
        <w:t>Scaling these programs globally requires continued investment, methodological harmonization, and the active participation of schools, families, and communities to ensure that every child—regardless of background—can learn, thrive, and eat well.</w:t>
      </w:r>
    </w:p>
    <w:p w14:paraId="492BEE55" w14:textId="77777777" w:rsidR="00091BDC" w:rsidRPr="00CD4BDB" w:rsidRDefault="00091BDC" w:rsidP="00CD4BDB">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Conclusion</w:t>
      </w:r>
    </w:p>
    <w:p w14:paraId="35630DD8"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This systematic review concludes that the integration of </w:t>
      </w:r>
      <w:r w:rsidRPr="00CD4BDB">
        <w:rPr>
          <w:rFonts w:ascii="Times New Roman" w:eastAsia="Times New Roman" w:hAnsi="Times New Roman" w:cs="Times New Roman"/>
          <w:b/>
          <w:bCs/>
          <w:kern w:val="0"/>
          <w:sz w:val="24"/>
          <w:szCs w:val="24"/>
          <w:lang w:eastAsia="en-ID"/>
          <w14:ligatures w14:val="none"/>
        </w:rPr>
        <w:t>school-based nutrition education and meal programs</w:t>
      </w:r>
      <w:r w:rsidRPr="00CD4BDB">
        <w:rPr>
          <w:rFonts w:ascii="Times New Roman" w:eastAsia="Times New Roman" w:hAnsi="Times New Roman" w:cs="Times New Roman"/>
          <w:kern w:val="0"/>
          <w:sz w:val="24"/>
          <w:szCs w:val="24"/>
          <w:lang w:eastAsia="en-ID"/>
          <w14:ligatures w14:val="none"/>
        </w:rPr>
        <w:t xml:space="preserve"> represents an effective, equity-driven strategy to enhance children’s health, learning outcomes, and long-term human capital. By merging educational instruction with access to nutritious meals, schools serve as critical platforms for fostering lifelong healthy eating </w:t>
      </w:r>
      <w:proofErr w:type="spellStart"/>
      <w:r w:rsidRPr="00CD4BDB">
        <w:rPr>
          <w:rFonts w:ascii="Times New Roman" w:eastAsia="Times New Roman" w:hAnsi="Times New Roman" w:cs="Times New Roman"/>
          <w:kern w:val="0"/>
          <w:sz w:val="24"/>
          <w:szCs w:val="24"/>
          <w:lang w:eastAsia="en-ID"/>
          <w14:ligatures w14:val="none"/>
        </w:rPr>
        <w:t>behaviors</w:t>
      </w:r>
      <w:proofErr w:type="spellEnd"/>
      <w:r w:rsidRPr="00CD4BDB">
        <w:rPr>
          <w:rFonts w:ascii="Times New Roman" w:eastAsia="Times New Roman" w:hAnsi="Times New Roman" w:cs="Times New Roman"/>
          <w:kern w:val="0"/>
          <w:sz w:val="24"/>
          <w:szCs w:val="24"/>
          <w:lang w:eastAsia="en-ID"/>
          <w14:ligatures w14:val="none"/>
        </w:rPr>
        <w:t xml:space="preserve"> and promoting social inclusion. Evidence across global contexts demonstrates that such integrated interventions improve </w:t>
      </w:r>
      <w:r w:rsidRPr="00CD4BDB">
        <w:rPr>
          <w:rFonts w:ascii="Times New Roman" w:eastAsia="Times New Roman" w:hAnsi="Times New Roman" w:cs="Times New Roman"/>
          <w:b/>
          <w:bCs/>
          <w:kern w:val="0"/>
          <w:sz w:val="24"/>
          <w:szCs w:val="24"/>
          <w:lang w:eastAsia="en-ID"/>
          <w14:ligatures w14:val="none"/>
        </w:rPr>
        <w:t>dietary knowledge, consumption patterns, and academic performance</w:t>
      </w:r>
      <w:r w:rsidRPr="00CD4BDB">
        <w:rPr>
          <w:rFonts w:ascii="Times New Roman" w:eastAsia="Times New Roman" w:hAnsi="Times New Roman" w:cs="Times New Roman"/>
          <w:kern w:val="0"/>
          <w:sz w:val="24"/>
          <w:szCs w:val="24"/>
          <w:lang w:eastAsia="en-ID"/>
          <w14:ligatures w14:val="none"/>
        </w:rPr>
        <w:t>, while reducing health and education disparities among socioeconomically disadvantaged students. Furthermore, universal school meal policies, when coupled with structured nutrition education and supportive food environments, are instrumental in mitigating inequality and building resilient learning ecosystems.</w:t>
      </w:r>
    </w:p>
    <w:p w14:paraId="3416DE94" w14:textId="77777777" w:rsidR="00091BDC" w:rsidRPr="00CD4BDB" w:rsidRDefault="00091BDC" w:rsidP="00CD4BDB">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CD4BDB">
        <w:rPr>
          <w:rFonts w:ascii="Times New Roman" w:eastAsia="Times New Roman" w:hAnsi="Times New Roman" w:cs="Times New Roman"/>
          <w:kern w:val="0"/>
          <w:sz w:val="24"/>
          <w:szCs w:val="24"/>
          <w:lang w:eastAsia="en-ID"/>
          <w14:ligatures w14:val="none"/>
        </w:rPr>
        <w:t xml:space="preserve">Nevertheless, challenges persist, including resource constraints, cultural variability, and methodological inconsistencies in program evaluation. To address these gaps, future research should emphasize </w:t>
      </w:r>
      <w:r w:rsidRPr="00CD4BDB">
        <w:rPr>
          <w:rFonts w:ascii="Times New Roman" w:eastAsia="Times New Roman" w:hAnsi="Times New Roman" w:cs="Times New Roman"/>
          <w:b/>
          <w:bCs/>
          <w:kern w:val="0"/>
          <w:sz w:val="24"/>
          <w:szCs w:val="24"/>
          <w:lang w:eastAsia="en-ID"/>
          <w14:ligatures w14:val="none"/>
        </w:rPr>
        <w:t>implementation fidelity, longitudinal impact tracking, and cost-effectiveness analyses</w:t>
      </w:r>
      <w:r w:rsidRPr="00CD4BDB">
        <w:rPr>
          <w:rFonts w:ascii="Times New Roman" w:eastAsia="Times New Roman" w:hAnsi="Times New Roman" w:cs="Times New Roman"/>
          <w:kern w:val="0"/>
          <w:sz w:val="24"/>
          <w:szCs w:val="24"/>
          <w:lang w:eastAsia="en-ID"/>
          <w14:ligatures w14:val="none"/>
        </w:rPr>
        <w:t>, alongside developing standardized global metrics for program assessment. Cross-sector collaboration between education, health, and policy stakeholders will be essential for scaling and sustaining these initiatives. Ultimately, investing in comprehensive school nutrition systems is not only a public health priority but also a strategic investment in human capital, capable of generating lasting educational, social, and economic dividends.</w:t>
      </w:r>
    </w:p>
    <w:p w14:paraId="4AC0910B" w14:textId="77777777" w:rsidR="00F034C9" w:rsidRDefault="00F034C9" w:rsidP="00F034C9">
      <w:pPr>
        <w:spacing w:after="0" w:line="240" w:lineRule="auto"/>
        <w:jc w:val="both"/>
        <w:rPr>
          <w:rFonts w:ascii="Times New Roman" w:eastAsia="Times New Roman" w:hAnsi="Times New Roman" w:cs="Times New Roman"/>
          <w:kern w:val="0"/>
          <w:sz w:val="24"/>
          <w:szCs w:val="24"/>
          <w:lang w:eastAsia="en-ID"/>
          <w14:ligatures w14:val="none"/>
        </w:rPr>
      </w:pPr>
      <w:r w:rsidRPr="00F034C9">
        <w:rPr>
          <w:rFonts w:ascii="Times New Roman" w:eastAsia="Times New Roman" w:hAnsi="Times New Roman" w:cs="Times New Roman"/>
          <w:kern w:val="0"/>
          <w:sz w:val="24"/>
          <w:szCs w:val="24"/>
          <w:lang w:eastAsia="en-ID"/>
          <w14:ligatures w14:val="none"/>
        </w:rPr>
        <w:t>Declaration of Competing Interest: The authors certify that there are no financial conflicts or personal relations that could have influenced the study reported in this paper.</w:t>
      </w:r>
    </w:p>
    <w:p w14:paraId="360D32BB" w14:textId="77777777" w:rsidR="00F034C9" w:rsidRPr="00F034C9" w:rsidRDefault="00F034C9" w:rsidP="00F034C9">
      <w:pPr>
        <w:spacing w:after="0" w:line="240" w:lineRule="auto"/>
        <w:jc w:val="both"/>
        <w:rPr>
          <w:rFonts w:ascii="Times New Roman" w:eastAsia="Times New Roman" w:hAnsi="Times New Roman" w:cs="Times New Roman"/>
          <w:kern w:val="0"/>
          <w:sz w:val="24"/>
          <w:szCs w:val="24"/>
          <w:lang w:eastAsia="en-ID"/>
          <w14:ligatures w14:val="none"/>
        </w:rPr>
      </w:pPr>
    </w:p>
    <w:p w14:paraId="58894124" w14:textId="77777777" w:rsidR="00F034C9" w:rsidRDefault="00F034C9" w:rsidP="00F034C9">
      <w:pPr>
        <w:spacing w:after="0" w:line="240" w:lineRule="auto"/>
        <w:jc w:val="both"/>
        <w:rPr>
          <w:rFonts w:ascii="Times New Roman" w:eastAsia="Times New Roman" w:hAnsi="Times New Roman" w:cs="Times New Roman"/>
          <w:kern w:val="0"/>
          <w:sz w:val="24"/>
          <w:szCs w:val="24"/>
          <w:lang w:eastAsia="en-ID"/>
          <w14:ligatures w14:val="none"/>
        </w:rPr>
      </w:pPr>
      <w:r w:rsidRPr="00F034C9">
        <w:rPr>
          <w:rFonts w:ascii="Times New Roman" w:eastAsia="Times New Roman" w:hAnsi="Times New Roman" w:cs="Times New Roman"/>
          <w:kern w:val="0"/>
          <w:sz w:val="24"/>
          <w:szCs w:val="24"/>
          <w:lang w:eastAsia="en-ID"/>
          <w14:ligatures w14:val="none"/>
        </w:rPr>
        <w:t xml:space="preserve">Data availability: No data was used for the research described in the article. </w:t>
      </w:r>
    </w:p>
    <w:p w14:paraId="04FF52A4" w14:textId="77777777" w:rsidR="00F034C9" w:rsidRPr="00F034C9" w:rsidRDefault="00F034C9" w:rsidP="00F034C9">
      <w:pPr>
        <w:spacing w:after="0" w:line="240" w:lineRule="auto"/>
        <w:jc w:val="both"/>
        <w:rPr>
          <w:rFonts w:ascii="Times New Roman" w:eastAsia="Times New Roman" w:hAnsi="Times New Roman" w:cs="Times New Roman"/>
          <w:kern w:val="0"/>
          <w:sz w:val="24"/>
          <w:szCs w:val="24"/>
          <w:lang w:eastAsia="en-ID"/>
          <w14:ligatures w14:val="none"/>
        </w:rPr>
      </w:pPr>
    </w:p>
    <w:p w14:paraId="6C6595B3" w14:textId="2494DC5E" w:rsidR="00091BDC" w:rsidRPr="00CD4BDB" w:rsidRDefault="00F034C9" w:rsidP="00F034C9">
      <w:pPr>
        <w:spacing w:after="0" w:line="240" w:lineRule="auto"/>
        <w:jc w:val="both"/>
        <w:rPr>
          <w:rFonts w:ascii="Times New Roman" w:eastAsia="Times New Roman" w:hAnsi="Times New Roman" w:cs="Times New Roman"/>
          <w:kern w:val="0"/>
          <w:sz w:val="24"/>
          <w:szCs w:val="24"/>
          <w:lang w:eastAsia="en-ID"/>
          <w14:ligatures w14:val="none"/>
        </w:rPr>
      </w:pPr>
      <w:r w:rsidRPr="00F034C9">
        <w:rPr>
          <w:rFonts w:ascii="Times New Roman" w:eastAsia="Times New Roman" w:hAnsi="Times New Roman" w:cs="Times New Roman"/>
          <w:kern w:val="0"/>
          <w:sz w:val="24"/>
          <w:szCs w:val="24"/>
          <w:lang w:eastAsia="en-ID"/>
          <w14:ligatures w14:val="none"/>
        </w:rPr>
        <w:t>Declaration of generative AI in scientific writing: During the preparation of this work, the authors used ChatGPT to enhance the clarity of the writing. After using ChatGPT, the authors reviewed and edited the content as needed and take full responsibility for the publication's content.</w:t>
      </w:r>
    </w:p>
    <w:p w14:paraId="1E6524DD" w14:textId="2BD7BAE0" w:rsidR="00371F7C" w:rsidRPr="00CD4BDB" w:rsidRDefault="00371F7C" w:rsidP="00CD4BDB">
      <w:pPr>
        <w:spacing w:before="100" w:beforeAutospacing="1" w:after="100" w:afterAutospacing="1" w:line="240" w:lineRule="auto"/>
        <w:jc w:val="both"/>
        <w:rPr>
          <w:rFonts w:ascii="Times New Roman" w:eastAsia="Times New Roman" w:hAnsi="Times New Roman" w:cs="Times New Roman"/>
          <w:b/>
          <w:bCs/>
          <w:kern w:val="0"/>
          <w:sz w:val="24"/>
          <w:szCs w:val="24"/>
          <w:lang w:eastAsia="en-ID"/>
          <w14:ligatures w14:val="none"/>
        </w:rPr>
      </w:pPr>
      <w:r w:rsidRPr="00CD4BDB">
        <w:rPr>
          <w:rFonts w:ascii="Times New Roman" w:eastAsia="Times New Roman" w:hAnsi="Times New Roman" w:cs="Times New Roman"/>
          <w:b/>
          <w:bCs/>
          <w:kern w:val="0"/>
          <w:sz w:val="24"/>
          <w:szCs w:val="24"/>
          <w:lang w:eastAsia="en-ID"/>
          <w14:ligatures w14:val="none"/>
        </w:rPr>
        <w:t>References</w:t>
      </w:r>
    </w:p>
    <w:p w14:paraId="6E4B7CAF" w14:textId="77777777" w:rsidR="00091BDC" w:rsidRPr="00CD4BDB" w:rsidRDefault="00091BDC" w:rsidP="00CD4BDB">
      <w:pPr>
        <w:pStyle w:val="NormalWeb"/>
        <w:ind w:left="480" w:hanging="480"/>
        <w:jc w:val="both"/>
      </w:pPr>
      <w:r w:rsidRPr="00CD4BDB">
        <w:t xml:space="preserve">Adeoya, A. A., </w:t>
      </w:r>
      <w:proofErr w:type="spellStart"/>
      <w:r w:rsidRPr="00CD4BDB">
        <w:t>Akinwusi</w:t>
      </w:r>
      <w:proofErr w:type="spellEnd"/>
      <w:r w:rsidRPr="00CD4BDB">
        <w:t xml:space="preserve">, A. T., &amp; </w:t>
      </w:r>
      <w:proofErr w:type="spellStart"/>
      <w:r w:rsidRPr="00CD4BDB">
        <w:t>Nagatomi</w:t>
      </w:r>
      <w:proofErr w:type="spellEnd"/>
      <w:r w:rsidRPr="00CD4BDB">
        <w:t xml:space="preserve">, R. (2023). Effectiveness of nutrition education in enhancing knowledge and attitude of pupils on choice of school mid-day meal in Ibadan, Nigeria. </w:t>
      </w:r>
      <w:r w:rsidRPr="00CD4BDB">
        <w:rPr>
          <w:i/>
          <w:iCs/>
        </w:rPr>
        <w:t>Food Science and Nutrition</w:t>
      </w:r>
      <w:r w:rsidRPr="00CD4BDB">
        <w:t xml:space="preserve">, </w:t>
      </w:r>
      <w:r w:rsidRPr="00CD4BDB">
        <w:rPr>
          <w:i/>
          <w:iCs/>
        </w:rPr>
        <w:t>11</w:t>
      </w:r>
      <w:r w:rsidRPr="00CD4BDB">
        <w:t>(7), 3758–3766. https://doi.org/10.1002/fsn3.3359</w:t>
      </w:r>
    </w:p>
    <w:p w14:paraId="60FB37EA" w14:textId="77777777" w:rsidR="00091BDC" w:rsidRPr="00CD4BDB" w:rsidRDefault="00091BDC" w:rsidP="00CD4BDB">
      <w:pPr>
        <w:pStyle w:val="NormalWeb"/>
        <w:ind w:left="480" w:hanging="480"/>
        <w:jc w:val="both"/>
      </w:pPr>
      <w:r w:rsidRPr="00CD4BDB">
        <w:t xml:space="preserve">Adolphus, K., Lawton, C., &amp; Dye, L. (2013). The Effects of Breakfast on </w:t>
      </w:r>
      <w:proofErr w:type="spellStart"/>
      <w:r w:rsidRPr="00CD4BDB">
        <w:t>Behavior</w:t>
      </w:r>
      <w:proofErr w:type="spellEnd"/>
      <w:r w:rsidRPr="00CD4BDB">
        <w:t xml:space="preserve"> and Academic Performance in Children and Adolescents. </w:t>
      </w:r>
      <w:r w:rsidRPr="00CD4BDB">
        <w:rPr>
          <w:i/>
          <w:iCs/>
        </w:rPr>
        <w:t>Frontiers in Human Neuroscience</w:t>
      </w:r>
      <w:r w:rsidRPr="00CD4BDB">
        <w:t xml:space="preserve">, </w:t>
      </w:r>
      <w:r w:rsidRPr="00CD4BDB">
        <w:rPr>
          <w:i/>
          <w:iCs/>
        </w:rPr>
        <w:t>7</w:t>
      </w:r>
      <w:r w:rsidRPr="00CD4BDB">
        <w:t>. https://doi.org/10.3389/fnhum.2013.00425</w:t>
      </w:r>
    </w:p>
    <w:p w14:paraId="209CED0B" w14:textId="77777777" w:rsidR="00091BDC" w:rsidRPr="00CD4BDB" w:rsidRDefault="00091BDC" w:rsidP="00CD4BDB">
      <w:pPr>
        <w:pStyle w:val="NormalWeb"/>
        <w:ind w:left="480" w:hanging="480"/>
        <w:jc w:val="both"/>
      </w:pPr>
      <w:r w:rsidRPr="00CD4BDB">
        <w:t>Ainsworth, H., Marshman, Z., Whiteside, K., Sykes, D., Fairhurst, C., Turner, E., Chestnutt, I., Day, P., Dey, D., Elliott, L., El-</w:t>
      </w:r>
      <w:proofErr w:type="spellStart"/>
      <w:r w:rsidRPr="00CD4BDB">
        <w:t>Yousfi</w:t>
      </w:r>
      <w:proofErr w:type="spellEnd"/>
      <w:r w:rsidRPr="00CD4BDB">
        <w:t xml:space="preserve">, S., Hewitt, C., Jones, C., Pavitt, S., Robertson, M., Torgerson, D., &amp; Innes, N. (2023). Set up and assessment of progression criteria for </w:t>
      </w:r>
      <w:r w:rsidRPr="00CD4BDB">
        <w:lastRenderedPageBreak/>
        <w:t xml:space="preserve">internal pilots: the Brushing </w:t>
      </w:r>
      <w:proofErr w:type="spellStart"/>
      <w:r w:rsidRPr="00CD4BDB">
        <w:t>RemInder</w:t>
      </w:r>
      <w:proofErr w:type="spellEnd"/>
      <w:r w:rsidRPr="00CD4BDB">
        <w:t xml:space="preserve"> 4 Good oral </w:t>
      </w:r>
      <w:proofErr w:type="spellStart"/>
      <w:r w:rsidRPr="00CD4BDB">
        <w:t>HealTh</w:t>
      </w:r>
      <w:proofErr w:type="spellEnd"/>
      <w:r w:rsidRPr="00CD4BDB">
        <w:t xml:space="preserve"> (BRIGHT) trial example. </w:t>
      </w:r>
      <w:r w:rsidRPr="00CD4BDB">
        <w:rPr>
          <w:i/>
          <w:iCs/>
        </w:rPr>
        <w:t>Pilot and Feasibility Studies</w:t>
      </w:r>
      <w:r w:rsidRPr="00CD4BDB">
        <w:t xml:space="preserve">, </w:t>
      </w:r>
      <w:r w:rsidRPr="00CD4BDB">
        <w:rPr>
          <w:i/>
          <w:iCs/>
        </w:rPr>
        <w:t>9</w:t>
      </w:r>
      <w:r w:rsidRPr="00CD4BDB">
        <w:t>(1). https://doi.org/10.1186/s40814-023-01243-z</w:t>
      </w:r>
    </w:p>
    <w:p w14:paraId="3F3E7B17" w14:textId="77777777" w:rsidR="00091BDC" w:rsidRPr="00CD4BDB" w:rsidRDefault="00091BDC" w:rsidP="00CD4BDB">
      <w:pPr>
        <w:pStyle w:val="NormalWeb"/>
        <w:ind w:left="480" w:hanging="480"/>
        <w:jc w:val="both"/>
      </w:pPr>
      <w:r w:rsidRPr="00CD4BDB">
        <w:t xml:space="preserve">Alcântara, C. M. d., Silva, A. N. S., Pinheiro, P. N. da C., &amp; Queiroz, M. V. O. (2019). Digital Technologies for Promotion of Healthy Eating Habits in Teenagers. </w:t>
      </w:r>
      <w:proofErr w:type="spellStart"/>
      <w:r w:rsidRPr="00CD4BDB">
        <w:rPr>
          <w:i/>
          <w:iCs/>
        </w:rPr>
        <w:t>Revista</w:t>
      </w:r>
      <w:proofErr w:type="spellEnd"/>
      <w:r w:rsidRPr="00CD4BDB">
        <w:rPr>
          <w:i/>
          <w:iCs/>
        </w:rPr>
        <w:t xml:space="preserve"> Brasileira De Enfermagem</w:t>
      </w:r>
      <w:r w:rsidRPr="00CD4BDB">
        <w:t xml:space="preserve">, </w:t>
      </w:r>
      <w:r w:rsidRPr="00CD4BDB">
        <w:rPr>
          <w:i/>
          <w:iCs/>
        </w:rPr>
        <w:t>72</w:t>
      </w:r>
      <w:r w:rsidRPr="00CD4BDB">
        <w:t>(2), 513–520. https://doi.org/10.1590/0034-7167-2018-0352</w:t>
      </w:r>
    </w:p>
    <w:p w14:paraId="5B04EEC1" w14:textId="77777777" w:rsidR="00091BDC" w:rsidRPr="00CD4BDB" w:rsidRDefault="00091BDC" w:rsidP="00CD4BDB">
      <w:pPr>
        <w:pStyle w:val="NormalWeb"/>
        <w:ind w:left="480" w:hanging="480"/>
        <w:jc w:val="both"/>
      </w:pPr>
      <w:r w:rsidRPr="00CD4BDB">
        <w:t>Al‐</w:t>
      </w:r>
      <w:proofErr w:type="spellStart"/>
      <w:r w:rsidRPr="00CD4BDB">
        <w:t>Jawaldeh</w:t>
      </w:r>
      <w:proofErr w:type="spellEnd"/>
      <w:r w:rsidRPr="00CD4BDB">
        <w:t xml:space="preserve">, A., </w:t>
      </w:r>
      <w:proofErr w:type="spellStart"/>
      <w:r w:rsidRPr="00CD4BDB">
        <w:t>Matbouli</w:t>
      </w:r>
      <w:proofErr w:type="spellEnd"/>
      <w:r w:rsidRPr="00CD4BDB">
        <w:t xml:space="preserve">, D., Diab, S., Taktouk, M., Hojeij, L., </w:t>
      </w:r>
      <w:proofErr w:type="spellStart"/>
      <w:r w:rsidRPr="00CD4BDB">
        <w:t>Naalbandian</w:t>
      </w:r>
      <w:proofErr w:type="spellEnd"/>
      <w:r w:rsidRPr="00CD4BDB">
        <w:t xml:space="preserve">, S., &amp; Nasreddine, L. (2023). School-Based Nutrition Programs in the Eastern Mediterranean Region: A Systematic Review. </w:t>
      </w:r>
      <w:r w:rsidRPr="00CD4BDB">
        <w:rPr>
          <w:i/>
          <w:iCs/>
        </w:rPr>
        <w:t>International Journal of Environmental Research and Public Health</w:t>
      </w:r>
      <w:r w:rsidRPr="00CD4BDB">
        <w:t xml:space="preserve">, </w:t>
      </w:r>
      <w:r w:rsidRPr="00CD4BDB">
        <w:rPr>
          <w:i/>
          <w:iCs/>
        </w:rPr>
        <w:t>20</w:t>
      </w:r>
      <w:r w:rsidRPr="00CD4BDB">
        <w:t>(22), 7047. https://doi.org/10.3390/ijerph20227047</w:t>
      </w:r>
    </w:p>
    <w:p w14:paraId="6748544D" w14:textId="77777777" w:rsidR="00091BDC" w:rsidRPr="00CD4BDB" w:rsidRDefault="00091BDC" w:rsidP="00CD4BDB">
      <w:pPr>
        <w:pStyle w:val="NormalWeb"/>
        <w:ind w:left="480" w:hanging="480"/>
        <w:jc w:val="both"/>
      </w:pPr>
      <w:r w:rsidRPr="00CD4BDB">
        <w:t xml:space="preserve">Amoore, B. Y., Gaa, P. K., </w:t>
      </w:r>
      <w:proofErr w:type="spellStart"/>
      <w:r w:rsidRPr="00CD4BDB">
        <w:t>Ziblim</w:t>
      </w:r>
      <w:proofErr w:type="spellEnd"/>
      <w:r w:rsidRPr="00CD4BDB">
        <w:t xml:space="preserve">, S., &amp; Mogre, V. (2023). Preparedness of Medical Students to Provide Nutrition Care Following a Nutrition Education Intervention. </w:t>
      </w:r>
      <w:r w:rsidRPr="00CD4BDB">
        <w:rPr>
          <w:i/>
          <w:iCs/>
        </w:rPr>
        <w:t>BMC Research Notes</w:t>
      </w:r>
      <w:r w:rsidRPr="00CD4BDB">
        <w:t xml:space="preserve">, </w:t>
      </w:r>
      <w:r w:rsidRPr="00CD4BDB">
        <w:rPr>
          <w:i/>
          <w:iCs/>
        </w:rPr>
        <w:t>16</w:t>
      </w:r>
      <w:r w:rsidRPr="00CD4BDB">
        <w:t>(1). https://doi.org/10.1186/s13104-023-06348-5</w:t>
      </w:r>
    </w:p>
    <w:p w14:paraId="5CD70748" w14:textId="77777777" w:rsidR="00091BDC" w:rsidRPr="00CD4BDB" w:rsidRDefault="00091BDC" w:rsidP="00CD4BDB">
      <w:pPr>
        <w:pStyle w:val="NormalWeb"/>
        <w:ind w:left="480" w:hanging="480"/>
        <w:jc w:val="both"/>
      </w:pPr>
      <w:r w:rsidRPr="00CD4BDB">
        <w:t xml:space="preserve">Asakura, K., Mori, S., Sasaki, S., &amp; Nishiwaki, Y. (2021). A School-Based Nutrition Education Program Involving Children and Their Guardians in Japan: Facilitation of Guardian-Child Communication and Reduction of Nutrition Knowledge Disparity. </w:t>
      </w:r>
      <w:r w:rsidRPr="00CD4BDB">
        <w:rPr>
          <w:i/>
          <w:iCs/>
        </w:rPr>
        <w:t>Nutrition Journal</w:t>
      </w:r>
      <w:r w:rsidRPr="00CD4BDB">
        <w:t xml:space="preserve">, </w:t>
      </w:r>
      <w:r w:rsidRPr="00CD4BDB">
        <w:rPr>
          <w:i/>
          <w:iCs/>
        </w:rPr>
        <w:t>20</w:t>
      </w:r>
      <w:r w:rsidRPr="00CD4BDB">
        <w:t>(1). https://doi.org/10.1186/s12937-021-00751-z</w:t>
      </w:r>
    </w:p>
    <w:p w14:paraId="403F31EB" w14:textId="77777777" w:rsidR="00091BDC" w:rsidRPr="00CD4BDB" w:rsidRDefault="00091BDC" w:rsidP="00CD4BDB">
      <w:pPr>
        <w:pStyle w:val="NormalWeb"/>
        <w:ind w:left="480" w:hanging="480"/>
        <w:jc w:val="both"/>
      </w:pPr>
      <w:proofErr w:type="spellStart"/>
      <w:r w:rsidRPr="00CD4BDB">
        <w:t>Aulia</w:t>
      </w:r>
      <w:proofErr w:type="spellEnd"/>
      <w:r w:rsidRPr="00CD4BDB">
        <w:t xml:space="preserve">, R. T., Welis, W., </w:t>
      </w:r>
      <w:proofErr w:type="spellStart"/>
      <w:r w:rsidRPr="00CD4BDB">
        <w:t>Neldi</w:t>
      </w:r>
      <w:proofErr w:type="spellEnd"/>
      <w:r w:rsidRPr="00CD4BDB">
        <w:t xml:space="preserve">, H., </w:t>
      </w:r>
      <w:proofErr w:type="spellStart"/>
      <w:r w:rsidRPr="00CD4BDB">
        <w:t>Wahyuri</w:t>
      </w:r>
      <w:proofErr w:type="spellEnd"/>
      <w:r w:rsidRPr="00CD4BDB">
        <w:t xml:space="preserve">, A. S., &amp; Zarya, F. (2024). Exploring Play </w:t>
      </w:r>
      <w:proofErr w:type="spellStart"/>
      <w:r w:rsidRPr="00CD4BDB">
        <w:t>Activites</w:t>
      </w:r>
      <w:proofErr w:type="spellEnd"/>
      <w:r w:rsidRPr="00CD4BDB">
        <w:t xml:space="preserve">, Nutritional Status and Learning Motivation on Learning Outcomes in Children. </w:t>
      </w:r>
      <w:proofErr w:type="spellStart"/>
      <w:r w:rsidRPr="00CD4BDB">
        <w:rPr>
          <w:i/>
          <w:iCs/>
        </w:rPr>
        <w:t>Jurnal</w:t>
      </w:r>
      <w:proofErr w:type="spellEnd"/>
      <w:r w:rsidRPr="00CD4BDB">
        <w:rPr>
          <w:i/>
          <w:iCs/>
        </w:rPr>
        <w:t xml:space="preserve"> Sportif </w:t>
      </w:r>
      <w:proofErr w:type="spellStart"/>
      <w:r w:rsidRPr="00CD4BDB">
        <w:rPr>
          <w:i/>
          <w:iCs/>
        </w:rPr>
        <w:t>Jurnal</w:t>
      </w:r>
      <w:proofErr w:type="spellEnd"/>
      <w:r w:rsidRPr="00CD4BDB">
        <w:rPr>
          <w:i/>
          <w:iCs/>
        </w:rPr>
        <w:t xml:space="preserve"> </w:t>
      </w:r>
      <w:proofErr w:type="spellStart"/>
      <w:r w:rsidRPr="00CD4BDB">
        <w:rPr>
          <w:i/>
          <w:iCs/>
        </w:rPr>
        <w:t>Penelitian</w:t>
      </w:r>
      <w:proofErr w:type="spellEnd"/>
      <w:r w:rsidRPr="00CD4BDB">
        <w:rPr>
          <w:i/>
          <w:iCs/>
        </w:rPr>
        <w:t xml:space="preserve"> </w:t>
      </w:r>
      <w:proofErr w:type="spellStart"/>
      <w:r w:rsidRPr="00CD4BDB">
        <w:rPr>
          <w:i/>
          <w:iCs/>
        </w:rPr>
        <w:t>Pembelajaran</w:t>
      </w:r>
      <w:proofErr w:type="spellEnd"/>
      <w:r w:rsidRPr="00CD4BDB">
        <w:t xml:space="preserve">, </w:t>
      </w:r>
      <w:r w:rsidRPr="00CD4BDB">
        <w:rPr>
          <w:i/>
          <w:iCs/>
        </w:rPr>
        <w:t>10</w:t>
      </w:r>
      <w:r w:rsidRPr="00CD4BDB">
        <w:t>(1), 58–75. https://doi.org/10.29407/js_unpgri.v10i1.21626</w:t>
      </w:r>
    </w:p>
    <w:p w14:paraId="536AD944" w14:textId="77777777" w:rsidR="00091BDC" w:rsidRPr="00CD4BDB" w:rsidRDefault="00091BDC" w:rsidP="00CD4BDB">
      <w:pPr>
        <w:pStyle w:val="NormalWeb"/>
        <w:ind w:left="480" w:hanging="480"/>
        <w:jc w:val="both"/>
      </w:pPr>
      <w:r w:rsidRPr="00CD4BDB">
        <w:t xml:space="preserve">Baker, K., Burd, L., &amp; Figueroa, R. (2024). Consumer Nutrition Environment Measurements for Nutrient-Dense Food Availability and Food Sustainability: A Scoping Review. </w:t>
      </w:r>
      <w:r w:rsidRPr="00CD4BDB">
        <w:rPr>
          <w:i/>
          <w:iCs/>
        </w:rPr>
        <w:t>Archives of Public Health</w:t>
      </w:r>
      <w:r w:rsidRPr="00CD4BDB">
        <w:t xml:space="preserve">, </w:t>
      </w:r>
      <w:r w:rsidRPr="00CD4BDB">
        <w:rPr>
          <w:i/>
          <w:iCs/>
        </w:rPr>
        <w:t>82</w:t>
      </w:r>
      <w:r w:rsidRPr="00CD4BDB">
        <w:t>(1). https://doi.org/10.1186/s13690-023-01231-y</w:t>
      </w:r>
    </w:p>
    <w:p w14:paraId="451DD7D3" w14:textId="77777777" w:rsidR="00091BDC" w:rsidRPr="00CD4BDB" w:rsidRDefault="00091BDC" w:rsidP="00CD4BDB">
      <w:pPr>
        <w:pStyle w:val="NormalWeb"/>
        <w:ind w:left="480" w:hanging="480"/>
        <w:jc w:val="both"/>
      </w:pPr>
      <w:r w:rsidRPr="00CD4BDB">
        <w:t xml:space="preserve">Baker, P., Hawkes, C., Wingrove, K., </w:t>
      </w:r>
      <w:proofErr w:type="spellStart"/>
      <w:r w:rsidRPr="00CD4BDB">
        <w:t>Demaio</w:t>
      </w:r>
      <w:proofErr w:type="spellEnd"/>
      <w:r w:rsidRPr="00CD4BDB">
        <w:t xml:space="preserve">, A., Parkhurst, J., Thow, A. M., &amp; Walls, H. (2018). What Drives Political Commitment for Nutrition? A Review and Framework Synthesis to Inform the United Nations Decade of Action on Nutrition. </w:t>
      </w:r>
      <w:r w:rsidRPr="00CD4BDB">
        <w:rPr>
          <w:i/>
          <w:iCs/>
        </w:rPr>
        <w:t>BMJ Global Health</w:t>
      </w:r>
      <w:r w:rsidRPr="00CD4BDB">
        <w:t xml:space="preserve">, </w:t>
      </w:r>
      <w:r w:rsidRPr="00CD4BDB">
        <w:rPr>
          <w:i/>
          <w:iCs/>
        </w:rPr>
        <w:t>3</w:t>
      </w:r>
      <w:r w:rsidRPr="00CD4BDB">
        <w:t>(1), e000485. https://doi.org/10.1136/bmjgh-2017-000485</w:t>
      </w:r>
    </w:p>
    <w:p w14:paraId="24ED967E" w14:textId="77777777" w:rsidR="00091BDC" w:rsidRPr="00CD4BDB" w:rsidRDefault="00091BDC" w:rsidP="00CD4BDB">
      <w:pPr>
        <w:pStyle w:val="NormalWeb"/>
        <w:ind w:left="480" w:hanging="480"/>
        <w:jc w:val="both"/>
      </w:pPr>
      <w:r w:rsidRPr="00CD4BDB">
        <w:t xml:space="preserve">Best, C. M., </w:t>
      </w:r>
      <w:proofErr w:type="spellStart"/>
      <w:r w:rsidRPr="00CD4BDB">
        <w:t>Neufingerl</w:t>
      </w:r>
      <w:proofErr w:type="spellEnd"/>
      <w:r w:rsidRPr="00CD4BDB">
        <w:t xml:space="preserve">, N., Geel, L. v., Briel, T. v. d., &amp; </w:t>
      </w:r>
      <w:proofErr w:type="spellStart"/>
      <w:r w:rsidRPr="00CD4BDB">
        <w:t>Osendarp</w:t>
      </w:r>
      <w:proofErr w:type="spellEnd"/>
      <w:r w:rsidRPr="00CD4BDB">
        <w:t xml:space="preserve">, S. (2010). The Nutritional Status of School-Aged Children: Why Should We Care? </w:t>
      </w:r>
      <w:r w:rsidRPr="00CD4BDB">
        <w:rPr>
          <w:i/>
          <w:iCs/>
        </w:rPr>
        <w:t>Food and Nutrition Bulletin</w:t>
      </w:r>
      <w:r w:rsidRPr="00CD4BDB">
        <w:t xml:space="preserve">, </w:t>
      </w:r>
      <w:r w:rsidRPr="00CD4BDB">
        <w:rPr>
          <w:i/>
          <w:iCs/>
        </w:rPr>
        <w:t>31</w:t>
      </w:r>
      <w:r w:rsidRPr="00CD4BDB">
        <w:t>(3), 400–417. https://doi.org/10.1177/156482651003100303</w:t>
      </w:r>
    </w:p>
    <w:p w14:paraId="49B31546" w14:textId="77777777" w:rsidR="00091BDC" w:rsidRPr="00CD4BDB" w:rsidRDefault="00091BDC" w:rsidP="00CD4BDB">
      <w:pPr>
        <w:pStyle w:val="NormalWeb"/>
        <w:ind w:left="480" w:hanging="480"/>
        <w:jc w:val="both"/>
      </w:pPr>
      <w:r w:rsidRPr="00CD4BDB">
        <w:t xml:space="preserve">Beyer, F., &amp; Wright, K. (2012). Can We Prioritise Which Databases to Search? A Case Study Using a Systematic Review of Frozen Shoulder Management. </w:t>
      </w:r>
      <w:r w:rsidRPr="00CD4BDB">
        <w:rPr>
          <w:i/>
          <w:iCs/>
        </w:rPr>
        <w:t>Health Information &amp; Libraries Journal</w:t>
      </w:r>
      <w:r w:rsidRPr="00CD4BDB">
        <w:t xml:space="preserve">, </w:t>
      </w:r>
      <w:r w:rsidRPr="00CD4BDB">
        <w:rPr>
          <w:i/>
          <w:iCs/>
        </w:rPr>
        <w:t>30</w:t>
      </w:r>
      <w:r w:rsidRPr="00CD4BDB">
        <w:t>(1), 49–58. https://doi.org/10.1111/hir.12009</w:t>
      </w:r>
    </w:p>
    <w:p w14:paraId="7643EC6D" w14:textId="77777777" w:rsidR="00091BDC" w:rsidRPr="00CD4BDB" w:rsidRDefault="00091BDC" w:rsidP="00CD4BDB">
      <w:pPr>
        <w:pStyle w:val="NormalWeb"/>
        <w:ind w:left="480" w:hanging="480"/>
        <w:jc w:val="both"/>
      </w:pPr>
      <w:r w:rsidRPr="00CD4BDB">
        <w:t xml:space="preserve">Burkhart, S., Hayman, A., Lam, F., Jones, B., Horsey, B., Craven, D., &amp; Underhill, S. J. R. (2022). School Food Programmes in the Pacific Islands: Exploring Opportunities and Challenges for Creating Healthier School Food Environments. </w:t>
      </w:r>
      <w:r w:rsidRPr="00CD4BDB">
        <w:rPr>
          <w:i/>
          <w:iCs/>
        </w:rPr>
        <w:t>Public Health Nutrition</w:t>
      </w:r>
      <w:r w:rsidRPr="00CD4BDB">
        <w:t xml:space="preserve">, </w:t>
      </w:r>
      <w:r w:rsidRPr="00CD4BDB">
        <w:rPr>
          <w:i/>
          <w:iCs/>
        </w:rPr>
        <w:t>26</w:t>
      </w:r>
      <w:r w:rsidRPr="00CD4BDB">
        <w:t>(2), 455–466. https://doi.org/10.1017/s1368980022001951</w:t>
      </w:r>
    </w:p>
    <w:p w14:paraId="26D2152C" w14:textId="77777777" w:rsidR="00091BDC" w:rsidRPr="00CD4BDB" w:rsidRDefault="00091BDC" w:rsidP="00CD4BDB">
      <w:pPr>
        <w:pStyle w:val="NormalWeb"/>
        <w:ind w:left="480" w:hanging="480"/>
        <w:jc w:val="both"/>
      </w:pPr>
      <w:proofErr w:type="spellStart"/>
      <w:r w:rsidRPr="00CD4BDB">
        <w:lastRenderedPageBreak/>
        <w:t>Chawner</w:t>
      </w:r>
      <w:proofErr w:type="spellEnd"/>
      <w:r w:rsidRPr="00CD4BDB">
        <w:t>, L. R., Blundell-</w:t>
      </w:r>
      <w:proofErr w:type="spellStart"/>
      <w:r w:rsidRPr="00CD4BDB">
        <w:t>Birtill</w:t>
      </w:r>
      <w:proofErr w:type="spellEnd"/>
      <w:r w:rsidRPr="00CD4BDB">
        <w:t xml:space="preserve">, P., Cockroft, J. E., &amp; Hetherington, M. M. (2024). Eating vegetables at school lunchtimes: Pilot and feasibility studies testing strategies to improve intake. </w:t>
      </w:r>
      <w:r w:rsidRPr="00CD4BDB">
        <w:rPr>
          <w:i/>
          <w:iCs/>
        </w:rPr>
        <w:t>Appetite</w:t>
      </w:r>
      <w:r w:rsidRPr="00CD4BDB">
        <w:t xml:space="preserve">, </w:t>
      </w:r>
      <w:r w:rsidRPr="00CD4BDB">
        <w:rPr>
          <w:i/>
          <w:iCs/>
        </w:rPr>
        <w:t>201</w:t>
      </w:r>
      <w:r w:rsidRPr="00CD4BDB">
        <w:t>. https://doi.org/10.1016/j.appet.2024.107622</w:t>
      </w:r>
    </w:p>
    <w:p w14:paraId="64831153" w14:textId="77777777" w:rsidR="00091BDC" w:rsidRPr="00CD4BDB" w:rsidRDefault="00091BDC" w:rsidP="00CD4BDB">
      <w:pPr>
        <w:pStyle w:val="NormalWeb"/>
        <w:ind w:left="480" w:hanging="480"/>
        <w:jc w:val="both"/>
      </w:pPr>
      <w:r w:rsidRPr="00CD4BDB">
        <w:t>Chilón-Troncos, R. F., García-Salirrosas, E. E., Escobar-</w:t>
      </w:r>
      <w:proofErr w:type="spellStart"/>
      <w:r w:rsidRPr="00CD4BDB">
        <w:t>Farfán</w:t>
      </w:r>
      <w:proofErr w:type="spellEnd"/>
      <w:r w:rsidRPr="00CD4BDB">
        <w:t xml:space="preserve">, M., </w:t>
      </w:r>
      <w:proofErr w:type="spellStart"/>
      <w:r w:rsidRPr="00CD4BDB">
        <w:t>Millones</w:t>
      </w:r>
      <w:proofErr w:type="spellEnd"/>
      <w:r w:rsidRPr="00CD4BDB">
        <w:t xml:space="preserve">-Liza, D. Y., &amp; Villar-Guevara, M. (2024). Predicting Willingness to Consume Healthy Brand Foods Using the Theory of Planned </w:t>
      </w:r>
      <w:proofErr w:type="spellStart"/>
      <w:r w:rsidRPr="00CD4BDB">
        <w:t>Behavior</w:t>
      </w:r>
      <w:proofErr w:type="spellEnd"/>
      <w:r w:rsidRPr="00CD4BDB">
        <w:t xml:space="preserve">: The Role of Nutritional Literacy. </w:t>
      </w:r>
      <w:r w:rsidRPr="00CD4BDB">
        <w:rPr>
          <w:i/>
          <w:iCs/>
        </w:rPr>
        <w:t>Frontiers in Nutrition</w:t>
      </w:r>
      <w:r w:rsidRPr="00CD4BDB">
        <w:t xml:space="preserve">, </w:t>
      </w:r>
      <w:r w:rsidRPr="00CD4BDB">
        <w:rPr>
          <w:i/>
          <w:iCs/>
        </w:rPr>
        <w:t>11</w:t>
      </w:r>
      <w:r w:rsidRPr="00CD4BDB">
        <w:t>. https://doi.org/10.3389/fnut.2024.1353569</w:t>
      </w:r>
    </w:p>
    <w:p w14:paraId="133C7CEA" w14:textId="77777777" w:rsidR="00091BDC" w:rsidRPr="00CD4BDB" w:rsidRDefault="00091BDC" w:rsidP="00CD4BDB">
      <w:pPr>
        <w:pStyle w:val="NormalWeb"/>
        <w:ind w:left="480" w:hanging="480"/>
        <w:jc w:val="both"/>
      </w:pPr>
      <w:r w:rsidRPr="00CD4BDB">
        <w:t xml:space="preserve">Cohen, J. F. W., Hecht, A. A., Hager, E. R., Turner, L., Burkholder, K., &amp; Schwartz, M. B. (2021). Strategies to improve school meal consumption: A systematic review. </w:t>
      </w:r>
      <w:r w:rsidRPr="00CD4BDB">
        <w:rPr>
          <w:i/>
          <w:iCs/>
        </w:rPr>
        <w:t>Nutrients</w:t>
      </w:r>
      <w:r w:rsidRPr="00CD4BDB">
        <w:t xml:space="preserve">, </w:t>
      </w:r>
      <w:r w:rsidRPr="00CD4BDB">
        <w:rPr>
          <w:i/>
          <w:iCs/>
        </w:rPr>
        <w:t>13</w:t>
      </w:r>
      <w:r w:rsidRPr="00CD4BDB">
        <w:t>(10). https://doi.org/10.3390/nu13103520</w:t>
      </w:r>
    </w:p>
    <w:p w14:paraId="1290D5BB" w14:textId="77777777" w:rsidR="00091BDC" w:rsidRPr="00CD4BDB" w:rsidRDefault="00091BDC" w:rsidP="00CD4BDB">
      <w:pPr>
        <w:pStyle w:val="NormalWeb"/>
        <w:ind w:left="480" w:hanging="480"/>
        <w:jc w:val="both"/>
      </w:pPr>
      <w:r w:rsidRPr="00CD4BDB">
        <w:t xml:space="preserve">Collado-Soler, R., </w:t>
      </w:r>
      <w:proofErr w:type="spellStart"/>
      <w:r w:rsidRPr="00CD4BDB">
        <w:t>Alférez</w:t>
      </w:r>
      <w:proofErr w:type="spellEnd"/>
      <w:r w:rsidRPr="00CD4BDB">
        <w:t xml:space="preserve">-Pastor, M., Torres, F. L., Trigueros, R., Aguilar-Parra, J. M., &amp; Gómez, N. N. (2023). A Systematic Review of Healthy Nutrition Intervention Programs in Kindergarten and Primary Education. </w:t>
      </w:r>
      <w:r w:rsidRPr="00CD4BDB">
        <w:rPr>
          <w:i/>
          <w:iCs/>
        </w:rPr>
        <w:t>Nutrients</w:t>
      </w:r>
      <w:r w:rsidRPr="00CD4BDB">
        <w:t xml:space="preserve">, </w:t>
      </w:r>
      <w:r w:rsidRPr="00CD4BDB">
        <w:rPr>
          <w:i/>
          <w:iCs/>
        </w:rPr>
        <w:t>15</w:t>
      </w:r>
      <w:r w:rsidRPr="00CD4BDB">
        <w:t>(3), 541. https://doi.org/10.3390/nu15030541</w:t>
      </w:r>
    </w:p>
    <w:p w14:paraId="59642DAA" w14:textId="77777777" w:rsidR="00091BDC" w:rsidRPr="00CD4BDB" w:rsidRDefault="00091BDC" w:rsidP="00CD4BDB">
      <w:pPr>
        <w:pStyle w:val="NormalWeb"/>
        <w:ind w:left="480" w:hanging="480"/>
        <w:jc w:val="both"/>
      </w:pPr>
      <w:r w:rsidRPr="00CD4BDB">
        <w:t xml:space="preserve">Cullerton, K., </w:t>
      </w:r>
      <w:proofErr w:type="spellStart"/>
      <w:r w:rsidRPr="00CD4BDB">
        <w:t>Donnet</w:t>
      </w:r>
      <w:proofErr w:type="spellEnd"/>
      <w:r w:rsidRPr="00CD4BDB">
        <w:t xml:space="preserve">, T., Lee, A., &amp; Gallegos, D. (2018). Effective Advocacy Strategies for Influencing Government Nutrition Policy: A Conceptual Model. </w:t>
      </w:r>
      <w:r w:rsidRPr="00CD4BDB">
        <w:rPr>
          <w:i/>
          <w:iCs/>
        </w:rPr>
        <w:t xml:space="preserve">International Journal of </w:t>
      </w:r>
      <w:proofErr w:type="spellStart"/>
      <w:r w:rsidRPr="00CD4BDB">
        <w:rPr>
          <w:i/>
          <w:iCs/>
        </w:rPr>
        <w:t>Behavioral</w:t>
      </w:r>
      <w:proofErr w:type="spellEnd"/>
      <w:r w:rsidRPr="00CD4BDB">
        <w:rPr>
          <w:i/>
          <w:iCs/>
        </w:rPr>
        <w:t xml:space="preserve"> Nutrition and Physical Activity</w:t>
      </w:r>
      <w:r w:rsidRPr="00CD4BDB">
        <w:t xml:space="preserve">, </w:t>
      </w:r>
      <w:r w:rsidRPr="00CD4BDB">
        <w:rPr>
          <w:i/>
          <w:iCs/>
        </w:rPr>
        <w:t>15</w:t>
      </w:r>
      <w:r w:rsidRPr="00CD4BDB">
        <w:t>(1). https://doi.org/10.1186/s12966-018-0716-y</w:t>
      </w:r>
    </w:p>
    <w:p w14:paraId="7338BE94" w14:textId="77777777" w:rsidR="00091BDC" w:rsidRPr="00CD4BDB" w:rsidRDefault="00091BDC" w:rsidP="00CD4BDB">
      <w:pPr>
        <w:pStyle w:val="NormalWeb"/>
        <w:ind w:left="480" w:hanging="480"/>
        <w:jc w:val="both"/>
      </w:pPr>
      <w:proofErr w:type="spellStart"/>
      <w:r w:rsidRPr="00CD4BDB">
        <w:t>Demekas</w:t>
      </w:r>
      <w:proofErr w:type="spellEnd"/>
      <w:r w:rsidRPr="00CD4BDB">
        <w:t xml:space="preserve">, S., </w:t>
      </w:r>
      <w:proofErr w:type="spellStart"/>
      <w:r w:rsidRPr="00CD4BDB">
        <w:t>Prytherch</w:t>
      </w:r>
      <w:proofErr w:type="spellEnd"/>
      <w:r w:rsidRPr="00CD4BDB">
        <w:t xml:space="preserve">, H., </w:t>
      </w:r>
      <w:proofErr w:type="spellStart"/>
      <w:r w:rsidRPr="00CD4BDB">
        <w:t>Bayisenge</w:t>
      </w:r>
      <w:proofErr w:type="spellEnd"/>
      <w:r w:rsidRPr="00CD4BDB">
        <w:t xml:space="preserve">, F., </w:t>
      </w:r>
      <w:proofErr w:type="spellStart"/>
      <w:r w:rsidRPr="00CD4BDB">
        <w:t>Habumugisha</w:t>
      </w:r>
      <w:proofErr w:type="spellEnd"/>
      <w:r w:rsidRPr="00CD4BDB">
        <w:t xml:space="preserve">, S., Kraemer, K., Monroy-Gomez, J., </w:t>
      </w:r>
      <w:proofErr w:type="spellStart"/>
      <w:r w:rsidRPr="00CD4BDB">
        <w:t>Nabacu</w:t>
      </w:r>
      <w:proofErr w:type="spellEnd"/>
      <w:r w:rsidRPr="00CD4BDB">
        <w:t xml:space="preserve">, I., Speich, C., </w:t>
      </w:r>
      <w:proofErr w:type="spellStart"/>
      <w:r w:rsidRPr="00CD4BDB">
        <w:t>Turinimigisha</w:t>
      </w:r>
      <w:proofErr w:type="spellEnd"/>
      <w:r w:rsidRPr="00CD4BDB">
        <w:t xml:space="preserve">, I., &amp; </w:t>
      </w:r>
      <w:proofErr w:type="spellStart"/>
      <w:r w:rsidRPr="00CD4BDB">
        <w:t>Barjolle</w:t>
      </w:r>
      <w:proofErr w:type="spellEnd"/>
      <w:r w:rsidRPr="00CD4BDB">
        <w:t xml:space="preserve">, D. (2024). Evaluating Double-Duty Actions in Rwanda’s Secondary Cities. </w:t>
      </w:r>
      <w:r w:rsidRPr="00CD4BDB">
        <w:rPr>
          <w:i/>
          <w:iCs/>
        </w:rPr>
        <w:t>Nutrients</w:t>
      </w:r>
      <w:r w:rsidRPr="00CD4BDB">
        <w:t xml:space="preserve">, </w:t>
      </w:r>
      <w:r w:rsidRPr="00CD4BDB">
        <w:rPr>
          <w:i/>
          <w:iCs/>
        </w:rPr>
        <w:t>16</w:t>
      </w:r>
      <w:r w:rsidRPr="00CD4BDB">
        <w:t>(13). https://doi.org/10.3390/nu16131998</w:t>
      </w:r>
    </w:p>
    <w:p w14:paraId="62F41C37" w14:textId="77777777" w:rsidR="00091BDC" w:rsidRPr="00CD4BDB" w:rsidRDefault="00091BDC" w:rsidP="00CD4BDB">
      <w:pPr>
        <w:pStyle w:val="NormalWeb"/>
        <w:ind w:left="480" w:hanging="480"/>
        <w:jc w:val="both"/>
      </w:pPr>
      <w:r w:rsidRPr="00CD4BDB">
        <w:t xml:space="preserve">Dias, L. E., &amp; Victor, A. O. (2017). Teaching and Learning </w:t>
      </w:r>
      <w:proofErr w:type="gramStart"/>
      <w:r w:rsidRPr="00CD4BDB">
        <w:t>With</w:t>
      </w:r>
      <w:proofErr w:type="gramEnd"/>
      <w:r w:rsidRPr="00CD4BDB">
        <w:t xml:space="preserve"> Mobile Devices in the 21st Century Digital World: Benefits and Challenges. </w:t>
      </w:r>
      <w:r w:rsidRPr="00CD4BDB">
        <w:rPr>
          <w:i/>
          <w:iCs/>
        </w:rPr>
        <w:t>European Journal of Multidisciplinary Studies</w:t>
      </w:r>
      <w:r w:rsidRPr="00CD4BDB">
        <w:t xml:space="preserve">, </w:t>
      </w:r>
      <w:r w:rsidRPr="00CD4BDB">
        <w:rPr>
          <w:i/>
          <w:iCs/>
        </w:rPr>
        <w:t>5</w:t>
      </w:r>
      <w:r w:rsidRPr="00CD4BDB">
        <w:t>(1), 339. https://doi.org/10.26417/ejms.v5i1.p339-344</w:t>
      </w:r>
    </w:p>
    <w:p w14:paraId="49EB4BE9" w14:textId="77777777" w:rsidR="00091BDC" w:rsidRPr="00CD4BDB" w:rsidRDefault="00091BDC" w:rsidP="00CD4BDB">
      <w:pPr>
        <w:pStyle w:val="NormalWeb"/>
        <w:ind w:left="480" w:hanging="480"/>
        <w:jc w:val="both"/>
      </w:pPr>
      <w:r w:rsidRPr="00CD4BDB">
        <w:t xml:space="preserve">Dudley, D., Cotton, W., &amp; Peralta, L. (2015). Teaching Approaches and Strategies That Promote Healthy Eating in Primary School Children: A Systematic Review and Meta-Analysis. </w:t>
      </w:r>
      <w:r w:rsidRPr="00CD4BDB">
        <w:rPr>
          <w:i/>
          <w:iCs/>
        </w:rPr>
        <w:t xml:space="preserve">International Journal of </w:t>
      </w:r>
      <w:proofErr w:type="spellStart"/>
      <w:r w:rsidRPr="00CD4BDB">
        <w:rPr>
          <w:i/>
          <w:iCs/>
        </w:rPr>
        <w:t>Behavioral</w:t>
      </w:r>
      <w:proofErr w:type="spellEnd"/>
      <w:r w:rsidRPr="00CD4BDB">
        <w:rPr>
          <w:i/>
          <w:iCs/>
        </w:rPr>
        <w:t xml:space="preserve"> Nutrition and Physical Activity</w:t>
      </w:r>
      <w:r w:rsidRPr="00CD4BDB">
        <w:t xml:space="preserve">, </w:t>
      </w:r>
      <w:r w:rsidRPr="00CD4BDB">
        <w:rPr>
          <w:i/>
          <w:iCs/>
        </w:rPr>
        <w:t>12</w:t>
      </w:r>
      <w:r w:rsidRPr="00CD4BDB">
        <w:t>(1). https://doi.org/10.1186/s12966-015-0182-8</w:t>
      </w:r>
    </w:p>
    <w:p w14:paraId="62CC12FE" w14:textId="77777777" w:rsidR="00091BDC" w:rsidRPr="00CD4BDB" w:rsidRDefault="00091BDC" w:rsidP="00CD4BDB">
      <w:pPr>
        <w:pStyle w:val="NormalWeb"/>
        <w:ind w:left="480" w:hanging="480"/>
        <w:jc w:val="both"/>
      </w:pPr>
      <w:r w:rsidRPr="00CD4BDB">
        <w:t xml:space="preserve">EMİROĞLU, E., ÜLKER, M. T., &amp; ELMACIOĞLU, F. (2022). Eating Attitude, Nutrition Knowledge and </w:t>
      </w:r>
      <w:proofErr w:type="spellStart"/>
      <w:r w:rsidRPr="00CD4BDB">
        <w:t>Behaviors</w:t>
      </w:r>
      <w:proofErr w:type="spellEnd"/>
      <w:r w:rsidRPr="00CD4BDB">
        <w:t xml:space="preserve"> Among Female Preschool Teachers in İstanbul: A Cross-Sectional Study. </w:t>
      </w:r>
      <w:proofErr w:type="spellStart"/>
      <w:r w:rsidRPr="00CD4BDB">
        <w:rPr>
          <w:i/>
          <w:iCs/>
        </w:rPr>
        <w:t>Turkiye</w:t>
      </w:r>
      <w:proofErr w:type="spellEnd"/>
      <w:r w:rsidRPr="00CD4BDB">
        <w:rPr>
          <w:i/>
          <w:iCs/>
        </w:rPr>
        <w:t xml:space="preserve"> </w:t>
      </w:r>
      <w:proofErr w:type="spellStart"/>
      <w:r w:rsidRPr="00CD4BDB">
        <w:rPr>
          <w:i/>
          <w:iCs/>
        </w:rPr>
        <w:t>Klinikleri</w:t>
      </w:r>
      <w:proofErr w:type="spellEnd"/>
      <w:r w:rsidRPr="00CD4BDB">
        <w:rPr>
          <w:i/>
          <w:iCs/>
        </w:rPr>
        <w:t xml:space="preserve"> Journal of Health Sciences</w:t>
      </w:r>
      <w:r w:rsidRPr="00CD4BDB">
        <w:t xml:space="preserve">, </w:t>
      </w:r>
      <w:r w:rsidRPr="00CD4BDB">
        <w:rPr>
          <w:i/>
          <w:iCs/>
        </w:rPr>
        <w:t>7</w:t>
      </w:r>
      <w:r w:rsidRPr="00CD4BDB">
        <w:t>(3), 685–692. https://doi.org/10.5336/healthsci.2022-87990</w:t>
      </w:r>
    </w:p>
    <w:p w14:paraId="4A0182F3" w14:textId="77777777" w:rsidR="00091BDC" w:rsidRPr="00CD4BDB" w:rsidRDefault="00091BDC" w:rsidP="00CD4BDB">
      <w:pPr>
        <w:pStyle w:val="NormalWeb"/>
        <w:ind w:left="480" w:hanging="480"/>
        <w:jc w:val="both"/>
      </w:pPr>
      <w:r w:rsidRPr="00CD4BDB">
        <w:t xml:space="preserve">Esdaile, E., Wharton, L., </w:t>
      </w:r>
      <w:proofErr w:type="spellStart"/>
      <w:r w:rsidRPr="00CD4BDB">
        <w:t>Vidgen</w:t>
      </w:r>
      <w:proofErr w:type="spellEnd"/>
      <w:r w:rsidRPr="00CD4BDB">
        <w:t xml:space="preserve">, H. A., &amp; Gallegos, D. (2024). Teacher Perspectives on the Socio-Ecological Barriers and Enablers to Food and Nutrition Education in Primary Schools: A Scoping Review. </w:t>
      </w:r>
      <w:r w:rsidRPr="00CD4BDB">
        <w:rPr>
          <w:i/>
          <w:iCs/>
        </w:rPr>
        <w:t>Public Health Nutrition</w:t>
      </w:r>
      <w:r w:rsidRPr="00CD4BDB">
        <w:t xml:space="preserve">, </w:t>
      </w:r>
      <w:r w:rsidRPr="00CD4BDB">
        <w:rPr>
          <w:i/>
          <w:iCs/>
        </w:rPr>
        <w:t>27</w:t>
      </w:r>
      <w:r w:rsidRPr="00CD4BDB">
        <w:t>(1). https://doi.org/10.1017/s1368980024001812</w:t>
      </w:r>
    </w:p>
    <w:p w14:paraId="3709749A" w14:textId="77777777" w:rsidR="00091BDC" w:rsidRPr="00CD4BDB" w:rsidRDefault="00091BDC" w:rsidP="00CD4BDB">
      <w:pPr>
        <w:pStyle w:val="NormalWeb"/>
        <w:ind w:left="480" w:hanging="480"/>
        <w:jc w:val="both"/>
      </w:pPr>
      <w:r w:rsidRPr="00CD4BDB">
        <w:t>Fink, L., Ploeger, A., &amp; Strassner, C. (2018). Participative Processes as a Chance for Developing Ideas to Bridge the Intention-</w:t>
      </w:r>
      <w:proofErr w:type="spellStart"/>
      <w:r w:rsidRPr="00CD4BDB">
        <w:t>Behavior</w:t>
      </w:r>
      <w:proofErr w:type="spellEnd"/>
      <w:r w:rsidRPr="00CD4BDB">
        <w:t xml:space="preserve"> Gap Concerning Sustainable Diets. </w:t>
      </w:r>
      <w:r w:rsidRPr="00CD4BDB">
        <w:rPr>
          <w:i/>
          <w:iCs/>
        </w:rPr>
        <w:t>Sustainability</w:t>
      </w:r>
      <w:r w:rsidRPr="00CD4BDB">
        <w:t xml:space="preserve">, </w:t>
      </w:r>
      <w:r w:rsidRPr="00CD4BDB">
        <w:rPr>
          <w:i/>
          <w:iCs/>
        </w:rPr>
        <w:t>10</w:t>
      </w:r>
      <w:r w:rsidRPr="00CD4BDB">
        <w:t>(12), 4434. https://doi.org/10.3390/su10124434</w:t>
      </w:r>
    </w:p>
    <w:p w14:paraId="00CB0700" w14:textId="77777777" w:rsidR="00091BDC" w:rsidRPr="00CD4BDB" w:rsidRDefault="00091BDC" w:rsidP="00CD4BDB">
      <w:pPr>
        <w:pStyle w:val="NormalWeb"/>
        <w:ind w:left="480" w:hanging="480"/>
        <w:jc w:val="both"/>
      </w:pPr>
      <w:proofErr w:type="spellStart"/>
      <w:r w:rsidRPr="00CD4BDB">
        <w:lastRenderedPageBreak/>
        <w:t>Follong</w:t>
      </w:r>
      <w:proofErr w:type="spellEnd"/>
      <w:r w:rsidRPr="00CD4BDB">
        <w:t xml:space="preserve">, B., Prieto, E., Miller, A., Collins, C. E., &amp; Bucher, T. (2022). Evaluating an Integrated Nutrition and Mathematics Curriculum: Primary School Teachers’ and Students’ Experiences. </w:t>
      </w:r>
      <w:r w:rsidRPr="00CD4BDB">
        <w:rPr>
          <w:i/>
          <w:iCs/>
        </w:rPr>
        <w:t>Public Health Nutrition</w:t>
      </w:r>
      <w:r w:rsidRPr="00CD4BDB">
        <w:t xml:space="preserve">, </w:t>
      </w:r>
      <w:r w:rsidRPr="00CD4BDB">
        <w:rPr>
          <w:i/>
          <w:iCs/>
        </w:rPr>
        <w:t>25</w:t>
      </w:r>
      <w:r w:rsidRPr="00CD4BDB">
        <w:t>(8), 2099–2110. https://doi.org/10.1017/s1368980022000386</w:t>
      </w:r>
    </w:p>
    <w:p w14:paraId="07D83051" w14:textId="77777777" w:rsidR="00091BDC" w:rsidRPr="00CD4BDB" w:rsidRDefault="00091BDC" w:rsidP="00CD4BDB">
      <w:pPr>
        <w:pStyle w:val="NormalWeb"/>
        <w:ind w:left="480" w:hanging="480"/>
        <w:jc w:val="both"/>
      </w:pPr>
      <w:r w:rsidRPr="00CD4BDB">
        <w:t xml:space="preserve">França, F. C. O. D., </w:t>
      </w:r>
      <w:proofErr w:type="spellStart"/>
      <w:r w:rsidRPr="00CD4BDB">
        <w:t>Puppin</w:t>
      </w:r>
      <w:proofErr w:type="spellEnd"/>
      <w:r w:rsidRPr="00CD4BDB">
        <w:t xml:space="preserve"> Zandonadi, R. P., Moreira, I. M. D. A., Silva, I. C. R., &amp; Akutsu, R. D. C. C. D. A. (2024). Deserts, Swamps and Food Oases: Mapping around the Schools in Bahia, Brazil and Implications for Ensuring Food and Nutritional Security. </w:t>
      </w:r>
      <w:r w:rsidRPr="00CD4BDB">
        <w:rPr>
          <w:i/>
          <w:iCs/>
        </w:rPr>
        <w:t>Nutrients</w:t>
      </w:r>
      <w:r w:rsidRPr="00CD4BDB">
        <w:t xml:space="preserve">, </w:t>
      </w:r>
      <w:r w:rsidRPr="00CD4BDB">
        <w:rPr>
          <w:i/>
          <w:iCs/>
        </w:rPr>
        <w:t>16</w:t>
      </w:r>
      <w:r w:rsidRPr="00CD4BDB">
        <w:t>(1). https://doi.org/10.3390/nu16010156</w:t>
      </w:r>
    </w:p>
    <w:p w14:paraId="0BC25870" w14:textId="77777777" w:rsidR="00091BDC" w:rsidRPr="00CD4BDB" w:rsidRDefault="00091BDC" w:rsidP="00CD4BDB">
      <w:pPr>
        <w:pStyle w:val="NormalWeb"/>
        <w:ind w:left="480" w:hanging="480"/>
        <w:jc w:val="both"/>
      </w:pPr>
      <w:r w:rsidRPr="00CD4BDB">
        <w:t xml:space="preserve">Franzel, B., </w:t>
      </w:r>
      <w:proofErr w:type="spellStart"/>
      <w:r w:rsidRPr="00CD4BDB">
        <w:t>Schwiegershausen</w:t>
      </w:r>
      <w:proofErr w:type="spellEnd"/>
      <w:r w:rsidRPr="00CD4BDB">
        <w:t xml:space="preserve">, M., Heusser, P., &amp; Berger, B. (2013). How to Locate and Appraise Qualitative Research in Complementary and Alternative Medicine. </w:t>
      </w:r>
      <w:r w:rsidRPr="00CD4BDB">
        <w:rPr>
          <w:i/>
          <w:iCs/>
        </w:rPr>
        <w:t>BMC Complementary and Alternative Medicine</w:t>
      </w:r>
      <w:r w:rsidRPr="00CD4BDB">
        <w:t xml:space="preserve">, </w:t>
      </w:r>
      <w:r w:rsidRPr="00CD4BDB">
        <w:rPr>
          <w:i/>
          <w:iCs/>
        </w:rPr>
        <w:t>13</w:t>
      </w:r>
      <w:r w:rsidRPr="00CD4BDB">
        <w:t>(1). https://doi.org/10.1186/1472-6882-13-125</w:t>
      </w:r>
    </w:p>
    <w:p w14:paraId="39C78AD4" w14:textId="77777777" w:rsidR="00091BDC" w:rsidRPr="00CD4BDB" w:rsidRDefault="00091BDC" w:rsidP="00CD4BDB">
      <w:pPr>
        <w:pStyle w:val="NormalWeb"/>
        <w:ind w:left="480" w:hanging="480"/>
        <w:jc w:val="both"/>
      </w:pPr>
      <w:r w:rsidRPr="00CD4BDB">
        <w:t xml:space="preserve">Gillespie, S., Haddad, L., Mannar, V., Menon, P., &amp; Nisbett, N. (2013). The Politics of Reducing Malnutrition: Building Commitment and Accelerating Progress. </w:t>
      </w:r>
      <w:r w:rsidRPr="00CD4BDB">
        <w:rPr>
          <w:i/>
          <w:iCs/>
        </w:rPr>
        <w:t>The Lancet</w:t>
      </w:r>
      <w:r w:rsidRPr="00CD4BDB">
        <w:t xml:space="preserve">, </w:t>
      </w:r>
      <w:r w:rsidRPr="00CD4BDB">
        <w:rPr>
          <w:i/>
          <w:iCs/>
        </w:rPr>
        <w:t>382</w:t>
      </w:r>
      <w:r w:rsidRPr="00CD4BDB">
        <w:t>(9891), 552–569. https://doi.org/10.1016/s0140-6736(13)60842-9</w:t>
      </w:r>
    </w:p>
    <w:p w14:paraId="3725C9CF" w14:textId="77777777" w:rsidR="00091BDC" w:rsidRPr="00CD4BDB" w:rsidRDefault="00091BDC" w:rsidP="00CD4BDB">
      <w:pPr>
        <w:pStyle w:val="NormalWeb"/>
        <w:ind w:left="480" w:hanging="480"/>
        <w:jc w:val="both"/>
      </w:pPr>
      <w:r w:rsidRPr="00CD4BDB">
        <w:t xml:space="preserve">Haddad, L., </w:t>
      </w:r>
      <w:proofErr w:type="spellStart"/>
      <w:r w:rsidRPr="00CD4BDB">
        <w:t>Achadi</w:t>
      </w:r>
      <w:proofErr w:type="spellEnd"/>
      <w:r w:rsidRPr="00CD4BDB">
        <w:t xml:space="preserve">, E., </w:t>
      </w:r>
      <w:proofErr w:type="spellStart"/>
      <w:r w:rsidRPr="00CD4BDB">
        <w:t>Bendech</w:t>
      </w:r>
      <w:proofErr w:type="spellEnd"/>
      <w:r w:rsidRPr="00CD4BDB">
        <w:t xml:space="preserve">, M. A., Ahuja, A., Bhatia, K., Bhutta, Z. A., </w:t>
      </w:r>
      <w:proofErr w:type="spellStart"/>
      <w:r w:rsidRPr="00CD4BDB">
        <w:t>Blössner</w:t>
      </w:r>
      <w:proofErr w:type="spellEnd"/>
      <w:r w:rsidRPr="00CD4BDB">
        <w:t xml:space="preserve">, M., Borghi, E., </w:t>
      </w:r>
      <w:proofErr w:type="spellStart"/>
      <w:r w:rsidRPr="00CD4BDB">
        <w:t>Colecraft</w:t>
      </w:r>
      <w:proofErr w:type="spellEnd"/>
      <w:r w:rsidRPr="00CD4BDB">
        <w:t xml:space="preserve">, E. K., Onís, M. d., Eriksen, K. G., Fanzo, J., Flores‐Ayala, R., Fracassi, P., Kimani‐Murage, E., </w:t>
      </w:r>
      <w:proofErr w:type="spellStart"/>
      <w:r w:rsidRPr="00CD4BDB">
        <w:t>Koukoubou</w:t>
      </w:r>
      <w:proofErr w:type="spellEnd"/>
      <w:r w:rsidRPr="00CD4BDB">
        <w:t xml:space="preserve">, E. N., </w:t>
      </w:r>
      <w:proofErr w:type="spellStart"/>
      <w:r w:rsidRPr="00CD4BDB">
        <w:t>Krasevec</w:t>
      </w:r>
      <w:proofErr w:type="spellEnd"/>
      <w:r w:rsidRPr="00CD4BDB">
        <w:t xml:space="preserve">, J., Newby, H., Nugent, R., … Reddy, K. S. (2015). The Global Nutrition Report 2014: Actions and Accountability to Accelerate the World’s Progress on Nutrition. </w:t>
      </w:r>
      <w:r w:rsidRPr="00CD4BDB">
        <w:rPr>
          <w:i/>
          <w:iCs/>
        </w:rPr>
        <w:t>Journal of Nutrition</w:t>
      </w:r>
      <w:r w:rsidRPr="00CD4BDB">
        <w:t xml:space="preserve">, </w:t>
      </w:r>
      <w:r w:rsidRPr="00CD4BDB">
        <w:rPr>
          <w:i/>
          <w:iCs/>
        </w:rPr>
        <w:t>145</w:t>
      </w:r>
      <w:r w:rsidRPr="00CD4BDB">
        <w:t>(4), 663–671. https://doi.org/10.3945/jn.114.206078</w:t>
      </w:r>
    </w:p>
    <w:p w14:paraId="3FBBE3D0" w14:textId="77777777" w:rsidR="00091BDC" w:rsidRPr="00CD4BDB" w:rsidRDefault="00091BDC" w:rsidP="00CD4BDB">
      <w:pPr>
        <w:pStyle w:val="NormalWeb"/>
        <w:ind w:left="480" w:hanging="480"/>
        <w:jc w:val="both"/>
      </w:pPr>
      <w:proofErr w:type="spellStart"/>
      <w:r w:rsidRPr="00CD4BDB">
        <w:t>Hamułka</w:t>
      </w:r>
      <w:proofErr w:type="spellEnd"/>
      <w:r w:rsidRPr="00CD4BDB">
        <w:t xml:space="preserve">, J., </w:t>
      </w:r>
      <w:proofErr w:type="spellStart"/>
      <w:r w:rsidRPr="00CD4BDB">
        <w:t>Wądołowska</w:t>
      </w:r>
      <w:proofErr w:type="spellEnd"/>
      <w:r w:rsidRPr="00CD4BDB">
        <w:t xml:space="preserve">, L., Hoffmann, M., Kowalkowska, J., &amp; Gutkowska, K. (2018). Effect of an Education Program on Nutrition Knowledge, Attitudes Toward Nutrition, Diet Quality, Lifestyle, and Body Composition in Polish Teenagers. The ABC of Healthy Eating Project: Design, Protocol, and Methodology. </w:t>
      </w:r>
      <w:r w:rsidRPr="00CD4BDB">
        <w:rPr>
          <w:i/>
          <w:iCs/>
        </w:rPr>
        <w:t>Nutrients</w:t>
      </w:r>
      <w:r w:rsidRPr="00CD4BDB">
        <w:t xml:space="preserve">, </w:t>
      </w:r>
      <w:r w:rsidRPr="00CD4BDB">
        <w:rPr>
          <w:i/>
          <w:iCs/>
        </w:rPr>
        <w:t>10</w:t>
      </w:r>
      <w:r w:rsidRPr="00CD4BDB">
        <w:t>(10), 1439. https://doi.org/10.3390/nu10101439</w:t>
      </w:r>
    </w:p>
    <w:p w14:paraId="261F85B2" w14:textId="77777777" w:rsidR="00091BDC" w:rsidRPr="00CD4BDB" w:rsidRDefault="00091BDC" w:rsidP="00CD4BDB">
      <w:pPr>
        <w:pStyle w:val="NormalWeb"/>
        <w:ind w:left="480" w:hanging="480"/>
        <w:jc w:val="both"/>
      </w:pPr>
      <w:r w:rsidRPr="00CD4BDB">
        <w:t xml:space="preserve">Hanninen, S., &amp; Rashid, M. (2018). Assessment of Students’ Perception of the Nutrition Curriculum in a Canadian Undergraduate Medical Education Program. </w:t>
      </w:r>
      <w:r w:rsidRPr="00CD4BDB">
        <w:rPr>
          <w:i/>
          <w:iCs/>
        </w:rPr>
        <w:t>Journal of the Canadian Association of Gastroenterology</w:t>
      </w:r>
      <w:r w:rsidRPr="00CD4BDB">
        <w:t xml:space="preserve">, </w:t>
      </w:r>
      <w:r w:rsidRPr="00CD4BDB">
        <w:rPr>
          <w:i/>
          <w:iCs/>
        </w:rPr>
        <w:t>2</w:t>
      </w:r>
      <w:r w:rsidRPr="00CD4BDB">
        <w:t>(3), 141–147. https://doi.org/10.1093/jcag/gwy043</w:t>
      </w:r>
    </w:p>
    <w:p w14:paraId="2258BD0E" w14:textId="77777777" w:rsidR="00091BDC" w:rsidRPr="00CD4BDB" w:rsidRDefault="00091BDC" w:rsidP="00CD4BDB">
      <w:pPr>
        <w:pStyle w:val="NormalWeb"/>
        <w:ind w:left="480" w:hanging="480"/>
        <w:jc w:val="both"/>
      </w:pPr>
      <w:r w:rsidRPr="00CD4BDB">
        <w:t xml:space="preserve">Heim, G., </w:t>
      </w:r>
      <w:proofErr w:type="spellStart"/>
      <w:r w:rsidRPr="00CD4BDB">
        <w:t>Thuestad</w:t>
      </w:r>
      <w:proofErr w:type="spellEnd"/>
      <w:r w:rsidRPr="00CD4BDB">
        <w:t xml:space="preserve">, R. O., Molin, M., &amp; Brevik, A. (2022). Free School Meal Improves Educational Health and the Learning Environment in a Small Municipality in Norway. </w:t>
      </w:r>
      <w:r w:rsidRPr="00CD4BDB">
        <w:rPr>
          <w:i/>
          <w:iCs/>
        </w:rPr>
        <w:t>Nutrients</w:t>
      </w:r>
      <w:r w:rsidRPr="00CD4BDB">
        <w:t xml:space="preserve">, </w:t>
      </w:r>
      <w:r w:rsidRPr="00CD4BDB">
        <w:rPr>
          <w:i/>
          <w:iCs/>
        </w:rPr>
        <w:t>14</w:t>
      </w:r>
      <w:r w:rsidRPr="00CD4BDB">
        <w:t>(14). https://doi.org/10.3390/nu14142989</w:t>
      </w:r>
    </w:p>
    <w:p w14:paraId="41598F30" w14:textId="77777777" w:rsidR="00091BDC" w:rsidRPr="00CD4BDB" w:rsidRDefault="00091BDC" w:rsidP="00CD4BDB">
      <w:pPr>
        <w:pStyle w:val="NormalWeb"/>
        <w:ind w:left="480" w:hanging="480"/>
        <w:jc w:val="both"/>
      </w:pPr>
      <w:r w:rsidRPr="00CD4BDB">
        <w:t xml:space="preserve">Hennessy, E., Dwyer, L. A., Oh, A., &amp; Patrick, H. (2015). Promoting Family Meals: A Review of Existing Interventions and Opportunities for Future Research. </w:t>
      </w:r>
      <w:r w:rsidRPr="00CD4BDB">
        <w:rPr>
          <w:i/>
          <w:iCs/>
        </w:rPr>
        <w:t>Adolescent Health Medicine and Therapeutics</w:t>
      </w:r>
      <w:r w:rsidRPr="00CD4BDB">
        <w:t>, 115. https://doi.org/10.2147/ahmt.s37316</w:t>
      </w:r>
    </w:p>
    <w:p w14:paraId="23D6FAC2" w14:textId="77777777" w:rsidR="00091BDC" w:rsidRPr="00CD4BDB" w:rsidRDefault="00091BDC" w:rsidP="00CD4BDB">
      <w:pPr>
        <w:pStyle w:val="NormalWeb"/>
        <w:ind w:left="480" w:hanging="480"/>
        <w:jc w:val="both"/>
      </w:pPr>
      <w:r w:rsidRPr="00CD4BDB">
        <w:t xml:space="preserve">Hong, Q. N., </w:t>
      </w:r>
      <w:proofErr w:type="spellStart"/>
      <w:r w:rsidRPr="00CD4BDB">
        <w:t>Fàbregues</w:t>
      </w:r>
      <w:proofErr w:type="spellEnd"/>
      <w:r w:rsidRPr="00CD4BDB">
        <w:t xml:space="preserve">, S., Bartlett, G., Boardman, F., Cargo, M., Dagenais, P., Gagnon, M., Griffiths, F., Nicolau, B., </w:t>
      </w:r>
      <w:proofErr w:type="spellStart"/>
      <w:r w:rsidRPr="00CD4BDB">
        <w:t>O’Cathain</w:t>
      </w:r>
      <w:proofErr w:type="spellEnd"/>
      <w:r w:rsidRPr="00CD4BDB">
        <w:t xml:space="preserve">, A., Rousseau, M.-C., Vedel, I., &amp; </w:t>
      </w:r>
      <w:proofErr w:type="spellStart"/>
      <w:r w:rsidRPr="00CD4BDB">
        <w:t>Pluye</w:t>
      </w:r>
      <w:proofErr w:type="spellEnd"/>
      <w:r w:rsidRPr="00CD4BDB">
        <w:t xml:space="preserve">, P. (2018). The Mixed Methods Appraisal Tool (MMAT) Version 2018 for Information Professionals and Researchers. </w:t>
      </w:r>
      <w:r w:rsidRPr="00CD4BDB">
        <w:rPr>
          <w:i/>
          <w:iCs/>
        </w:rPr>
        <w:t>Education for Information</w:t>
      </w:r>
      <w:r w:rsidRPr="00CD4BDB">
        <w:t xml:space="preserve">, </w:t>
      </w:r>
      <w:r w:rsidRPr="00CD4BDB">
        <w:rPr>
          <w:i/>
          <w:iCs/>
        </w:rPr>
        <w:t>34</w:t>
      </w:r>
      <w:r w:rsidRPr="00CD4BDB">
        <w:t>(4), 285–291. https://doi.org/10.3233/efi-180221</w:t>
      </w:r>
    </w:p>
    <w:p w14:paraId="095EA18C" w14:textId="77777777" w:rsidR="00091BDC" w:rsidRPr="00CD4BDB" w:rsidRDefault="00091BDC" w:rsidP="00CD4BDB">
      <w:pPr>
        <w:pStyle w:val="NormalWeb"/>
        <w:ind w:left="480" w:hanging="480"/>
        <w:jc w:val="both"/>
      </w:pPr>
      <w:r w:rsidRPr="00CD4BDB">
        <w:lastRenderedPageBreak/>
        <w:t xml:space="preserve">Ickes, M. J., McMullen, J., Haider, T., &amp; Sharma, M. (2014). Global School-Based Childhood Obesity Interventions:  a Review. </w:t>
      </w:r>
      <w:r w:rsidRPr="00CD4BDB">
        <w:rPr>
          <w:i/>
          <w:iCs/>
        </w:rPr>
        <w:t>International Journal of Environmental Research and Public Health</w:t>
      </w:r>
      <w:r w:rsidRPr="00CD4BDB">
        <w:t xml:space="preserve">, </w:t>
      </w:r>
      <w:r w:rsidRPr="00CD4BDB">
        <w:rPr>
          <w:i/>
          <w:iCs/>
        </w:rPr>
        <w:t>11</w:t>
      </w:r>
      <w:r w:rsidRPr="00CD4BDB">
        <w:t>(9), 8940–8961. https://doi.org/10.3390/ijerph110908940</w:t>
      </w:r>
    </w:p>
    <w:p w14:paraId="0E682CC3" w14:textId="77777777" w:rsidR="00091BDC" w:rsidRPr="00CD4BDB" w:rsidRDefault="00091BDC" w:rsidP="00CD4BDB">
      <w:pPr>
        <w:pStyle w:val="NormalWeb"/>
        <w:ind w:left="480" w:hanging="480"/>
        <w:jc w:val="both"/>
      </w:pPr>
      <w:r w:rsidRPr="00CD4BDB">
        <w:t xml:space="preserve">Jones, W., Sobers-Grannum, N., Brown-Perry, A., Bristol, L., &amp; Samuels, T. A. (2023). Revising primary and secondary school curricula in the Caribbean to enhance education on the risks for noncommunicable diseases. </w:t>
      </w:r>
      <w:proofErr w:type="spellStart"/>
      <w:r w:rsidRPr="00CD4BDB">
        <w:rPr>
          <w:i/>
          <w:iCs/>
        </w:rPr>
        <w:t>Revista</w:t>
      </w:r>
      <w:proofErr w:type="spellEnd"/>
      <w:r w:rsidRPr="00CD4BDB">
        <w:rPr>
          <w:i/>
          <w:iCs/>
        </w:rPr>
        <w:t xml:space="preserve"> Panamericana de Salud Publica/Pan American Journal of Public Health</w:t>
      </w:r>
      <w:r w:rsidRPr="00CD4BDB">
        <w:t xml:space="preserve">, </w:t>
      </w:r>
      <w:r w:rsidRPr="00CD4BDB">
        <w:rPr>
          <w:i/>
          <w:iCs/>
        </w:rPr>
        <w:t>47</w:t>
      </w:r>
      <w:r w:rsidRPr="00CD4BDB">
        <w:t>. https://doi.org/10.26633/RPSP.2023.97</w:t>
      </w:r>
    </w:p>
    <w:p w14:paraId="4D89F175" w14:textId="77777777" w:rsidR="00091BDC" w:rsidRPr="00CD4BDB" w:rsidRDefault="00091BDC" w:rsidP="00CD4BDB">
      <w:pPr>
        <w:pStyle w:val="NormalWeb"/>
        <w:ind w:left="480" w:hanging="480"/>
        <w:jc w:val="both"/>
      </w:pPr>
      <w:proofErr w:type="spellStart"/>
      <w:r w:rsidRPr="00CD4BDB">
        <w:t>Karecka</w:t>
      </w:r>
      <w:proofErr w:type="spellEnd"/>
      <w:r w:rsidRPr="00CD4BDB">
        <w:t xml:space="preserve">, P., Copeland, T., &amp; Muzaffar, H. (2023). Evaluation of the Coordinated Approach to Child Health (CATCH) Program in Third Through Fifth Graders in Northern Illinois. </w:t>
      </w:r>
      <w:r w:rsidRPr="00CD4BDB">
        <w:rPr>
          <w:i/>
          <w:iCs/>
        </w:rPr>
        <w:t>Health</w:t>
      </w:r>
      <w:r w:rsidRPr="00CD4BDB">
        <w:t xml:space="preserve">, </w:t>
      </w:r>
      <w:r w:rsidRPr="00CD4BDB">
        <w:rPr>
          <w:i/>
          <w:iCs/>
        </w:rPr>
        <w:t>15</w:t>
      </w:r>
      <w:r w:rsidRPr="00CD4BDB">
        <w:t>(11), 1191–1201. https://doi.org/10.4236/health.2023.1511079</w:t>
      </w:r>
    </w:p>
    <w:p w14:paraId="4000ED52" w14:textId="77777777" w:rsidR="00091BDC" w:rsidRPr="00CD4BDB" w:rsidRDefault="00091BDC" w:rsidP="00CD4BDB">
      <w:pPr>
        <w:pStyle w:val="NormalWeb"/>
        <w:ind w:left="480" w:hanging="480"/>
        <w:jc w:val="both"/>
      </w:pPr>
      <w:r w:rsidRPr="00CD4BDB">
        <w:t xml:space="preserve">King, V., Stevens, A., </w:t>
      </w:r>
      <w:proofErr w:type="spellStart"/>
      <w:r w:rsidRPr="00CD4BDB">
        <w:t>Nußbaumer</w:t>
      </w:r>
      <w:proofErr w:type="spellEnd"/>
      <w:r w:rsidRPr="00CD4BDB">
        <w:t xml:space="preserve">-Streit, B., Kamel, C., &amp; </w:t>
      </w:r>
      <w:proofErr w:type="spellStart"/>
      <w:r w:rsidRPr="00CD4BDB">
        <w:t>Garritty</w:t>
      </w:r>
      <w:proofErr w:type="spellEnd"/>
      <w:r w:rsidRPr="00CD4BDB">
        <w:t xml:space="preserve">, C. (2022). Paper 2: Performing Rapid Reviews. </w:t>
      </w:r>
      <w:r w:rsidRPr="00CD4BDB">
        <w:rPr>
          <w:i/>
          <w:iCs/>
        </w:rPr>
        <w:t>Systematic Reviews</w:t>
      </w:r>
      <w:r w:rsidRPr="00CD4BDB">
        <w:t xml:space="preserve">, </w:t>
      </w:r>
      <w:r w:rsidRPr="00CD4BDB">
        <w:rPr>
          <w:i/>
          <w:iCs/>
        </w:rPr>
        <w:t>11</w:t>
      </w:r>
      <w:r w:rsidRPr="00CD4BDB">
        <w:t>(1). https://doi.org/10.1186/s13643-022-02011-5</w:t>
      </w:r>
    </w:p>
    <w:p w14:paraId="7E9D3821" w14:textId="77777777" w:rsidR="00091BDC" w:rsidRPr="00CD4BDB" w:rsidRDefault="00091BDC" w:rsidP="00CD4BDB">
      <w:pPr>
        <w:pStyle w:val="NormalWeb"/>
        <w:ind w:left="480" w:hanging="480"/>
        <w:jc w:val="both"/>
      </w:pPr>
      <w:r w:rsidRPr="00CD4BDB">
        <w:t xml:space="preserve">Krause, C., </w:t>
      </w:r>
      <w:proofErr w:type="spellStart"/>
      <w:r w:rsidRPr="00CD4BDB">
        <w:t>Sommerhalder</w:t>
      </w:r>
      <w:proofErr w:type="spellEnd"/>
      <w:r w:rsidRPr="00CD4BDB">
        <w:t xml:space="preserve">, K., Beer‐Borst, S., &amp; Abel, T. (2016). Just a Subtle Difference? Findings From a Systematic Review on Definitions of Nutrition Literacy and Food Literacy. </w:t>
      </w:r>
      <w:r w:rsidRPr="00CD4BDB">
        <w:rPr>
          <w:i/>
          <w:iCs/>
        </w:rPr>
        <w:t>Health Promotion International</w:t>
      </w:r>
      <w:r w:rsidRPr="00CD4BDB">
        <w:t>, daw084. https://doi.org/10.1093/heapro/daw084</w:t>
      </w:r>
    </w:p>
    <w:p w14:paraId="707F45EB" w14:textId="77777777" w:rsidR="00091BDC" w:rsidRPr="00CD4BDB" w:rsidRDefault="00091BDC" w:rsidP="00CD4BDB">
      <w:pPr>
        <w:pStyle w:val="NormalWeb"/>
        <w:ind w:left="480" w:hanging="480"/>
        <w:jc w:val="both"/>
      </w:pPr>
      <w:r w:rsidRPr="00CD4BDB">
        <w:t xml:space="preserve">Kwon, S., Kim, O.-S., &amp; Lee, Y. (2018). Effects of Students’ Satisfaction </w:t>
      </w:r>
      <w:proofErr w:type="gramStart"/>
      <w:r w:rsidRPr="00CD4BDB">
        <w:t>With</w:t>
      </w:r>
      <w:proofErr w:type="gramEnd"/>
      <w:r w:rsidRPr="00CD4BDB">
        <w:t xml:space="preserve"> School Meal Programs on School Happiness in South Korea. </w:t>
      </w:r>
      <w:r w:rsidRPr="00CD4BDB">
        <w:rPr>
          <w:i/>
          <w:iCs/>
        </w:rPr>
        <w:t>Nutrition Research and Practice</w:t>
      </w:r>
      <w:r w:rsidRPr="00CD4BDB">
        <w:t xml:space="preserve">, </w:t>
      </w:r>
      <w:r w:rsidRPr="00CD4BDB">
        <w:rPr>
          <w:i/>
          <w:iCs/>
        </w:rPr>
        <w:t>12</w:t>
      </w:r>
      <w:r w:rsidRPr="00CD4BDB">
        <w:t>(4), 342. https://doi.org/10.4162/nrp.2018.12.4.342</w:t>
      </w:r>
    </w:p>
    <w:p w14:paraId="5DAA32FE" w14:textId="77777777" w:rsidR="00091BDC" w:rsidRPr="00CD4BDB" w:rsidRDefault="00091BDC" w:rsidP="00CD4BDB">
      <w:pPr>
        <w:pStyle w:val="NormalWeb"/>
        <w:ind w:left="480" w:hanging="480"/>
        <w:jc w:val="both"/>
      </w:pPr>
      <w:r w:rsidRPr="00CD4BDB">
        <w:t xml:space="preserve">Laitinen, A. L., Antikainen, A., Mikkonen, S., Kähkönen, K., </w:t>
      </w:r>
      <w:proofErr w:type="spellStart"/>
      <w:r w:rsidRPr="00CD4BDB">
        <w:t>Talvia</w:t>
      </w:r>
      <w:proofErr w:type="spellEnd"/>
      <w:r w:rsidRPr="00CD4BDB">
        <w:t xml:space="preserve">, S., Varjonen, S., Paavola, S., Karhunen, L., &amp; Tilles-Tirkkonen, T. (2023). The ‘Tasty School’ model is feasible for food education in primary schools. </w:t>
      </w:r>
      <w:r w:rsidRPr="00CD4BDB">
        <w:rPr>
          <w:i/>
          <w:iCs/>
        </w:rPr>
        <w:t>Journal of Human Nutrition and Dietetics</w:t>
      </w:r>
      <w:r w:rsidRPr="00CD4BDB">
        <w:t xml:space="preserve">, </w:t>
      </w:r>
      <w:r w:rsidRPr="00CD4BDB">
        <w:rPr>
          <w:i/>
          <w:iCs/>
        </w:rPr>
        <w:t>36</w:t>
      </w:r>
      <w:r w:rsidRPr="00CD4BDB">
        <w:t>(1), 75–85. https://doi.org/10.1111/jhn.13071</w:t>
      </w:r>
    </w:p>
    <w:p w14:paraId="65732665" w14:textId="77777777" w:rsidR="00091BDC" w:rsidRPr="00CD4BDB" w:rsidRDefault="00091BDC" w:rsidP="00CD4BDB">
      <w:pPr>
        <w:pStyle w:val="NormalWeb"/>
        <w:ind w:left="480" w:hanging="480"/>
        <w:jc w:val="both"/>
      </w:pPr>
      <w:r w:rsidRPr="00CD4BDB">
        <w:t xml:space="preserve">Laitinen, A. L., Antikainen, A., Mikkonen, S., Kähkönen, K., </w:t>
      </w:r>
      <w:proofErr w:type="spellStart"/>
      <w:r w:rsidRPr="00CD4BDB">
        <w:t>Talvia</w:t>
      </w:r>
      <w:proofErr w:type="spellEnd"/>
      <w:r w:rsidRPr="00CD4BDB">
        <w:t xml:space="preserve">, S., Varjonen, S., Paavola, S., Karhunen, L., &amp; Tilles-Tirkkonen, T. (2022). Implementation of food education in school environments improves pupils’ eating patterns and social participation in school dining. </w:t>
      </w:r>
      <w:r w:rsidRPr="00CD4BDB">
        <w:rPr>
          <w:i/>
          <w:iCs/>
        </w:rPr>
        <w:t>Public Health Nutrition</w:t>
      </w:r>
      <w:r w:rsidRPr="00CD4BDB">
        <w:t xml:space="preserve">, </w:t>
      </w:r>
      <w:r w:rsidRPr="00CD4BDB">
        <w:rPr>
          <w:i/>
          <w:iCs/>
        </w:rPr>
        <w:t>25</w:t>
      </w:r>
      <w:r w:rsidRPr="00CD4BDB">
        <w:t>(12), 3548–3558. https://doi.org/10.1017/S1368980022002154</w:t>
      </w:r>
    </w:p>
    <w:p w14:paraId="0D94CEA8" w14:textId="77777777" w:rsidR="00091BDC" w:rsidRPr="00CD4BDB" w:rsidRDefault="00091BDC" w:rsidP="00CD4BDB">
      <w:pPr>
        <w:pStyle w:val="NormalWeb"/>
        <w:ind w:left="480" w:hanging="480"/>
        <w:jc w:val="both"/>
      </w:pPr>
      <w:r w:rsidRPr="00CD4BDB">
        <w:t xml:space="preserve">Lakshman, R., Sharp, S. J., Ong, K. K., &amp; </w:t>
      </w:r>
      <w:proofErr w:type="spellStart"/>
      <w:r w:rsidRPr="00CD4BDB">
        <w:t>Forouhi</w:t>
      </w:r>
      <w:proofErr w:type="spellEnd"/>
      <w:r w:rsidRPr="00CD4BDB">
        <w:t xml:space="preserve">, N. G. (2010). A Novel School-Based Intervention to Improve Nutrition Knowledge in Children: Cluster Randomised Controlled Trial. </w:t>
      </w:r>
      <w:r w:rsidRPr="00CD4BDB">
        <w:rPr>
          <w:i/>
          <w:iCs/>
        </w:rPr>
        <w:t>BMC Public Health</w:t>
      </w:r>
      <w:r w:rsidRPr="00CD4BDB">
        <w:t xml:space="preserve">, </w:t>
      </w:r>
      <w:r w:rsidRPr="00CD4BDB">
        <w:rPr>
          <w:i/>
          <w:iCs/>
        </w:rPr>
        <w:t>10</w:t>
      </w:r>
      <w:r w:rsidRPr="00CD4BDB">
        <w:t>(1). https://doi.org/10.1186/1471-2458-10-123</w:t>
      </w:r>
    </w:p>
    <w:p w14:paraId="20C8ADF8" w14:textId="77777777" w:rsidR="00091BDC" w:rsidRPr="00CD4BDB" w:rsidRDefault="00091BDC" w:rsidP="00CD4BDB">
      <w:pPr>
        <w:pStyle w:val="NormalWeb"/>
        <w:ind w:left="480" w:hanging="480"/>
        <w:jc w:val="both"/>
      </w:pPr>
      <w:r w:rsidRPr="00CD4BDB">
        <w:t xml:space="preserve">Locke, A., Jones, H., James, M., Marchant, E., Kennedy, J. L., Burdett, D. W. E., Bandyopadhyay, A., Stratton, G., &amp; Brophy, S. (2024). Cohort profile: Health and Attainment of Pupils in a Primary Education National Cohort (HAPPEN)-a hybrid total population cohort in Wales, UK. </w:t>
      </w:r>
      <w:r w:rsidRPr="00CD4BDB">
        <w:rPr>
          <w:i/>
          <w:iCs/>
        </w:rPr>
        <w:t>BMJ Open</w:t>
      </w:r>
      <w:r w:rsidRPr="00CD4BDB">
        <w:t xml:space="preserve">, </w:t>
      </w:r>
      <w:r w:rsidRPr="00CD4BDB">
        <w:rPr>
          <w:i/>
          <w:iCs/>
        </w:rPr>
        <w:t>14</w:t>
      </w:r>
      <w:r w:rsidRPr="00CD4BDB">
        <w:t>(12). https://doi.org/10.1136/bmjopen-2024-088721</w:t>
      </w:r>
    </w:p>
    <w:p w14:paraId="4DC6B9A4" w14:textId="77777777" w:rsidR="00091BDC" w:rsidRPr="00CD4BDB" w:rsidRDefault="00091BDC" w:rsidP="00CD4BDB">
      <w:pPr>
        <w:pStyle w:val="NormalWeb"/>
        <w:ind w:left="480" w:hanging="480"/>
        <w:jc w:val="both"/>
      </w:pPr>
      <w:proofErr w:type="spellStart"/>
      <w:r w:rsidRPr="00CD4BDB">
        <w:t>Matijasevich</w:t>
      </w:r>
      <w:proofErr w:type="spellEnd"/>
      <w:r w:rsidRPr="00CD4BDB">
        <w:t xml:space="preserve">, A., </w:t>
      </w:r>
      <w:proofErr w:type="spellStart"/>
      <w:r w:rsidRPr="00CD4BDB">
        <w:t>Víctora</w:t>
      </w:r>
      <w:proofErr w:type="spellEnd"/>
      <w:r w:rsidRPr="00CD4BDB">
        <w:t xml:space="preserve">, C. G., Lawlor, D. A., Golding, J., Menezes, A. M. B., Araújo, C. L., Barros, A. J. D., Santos, I. S., Barros, F. C., &amp; Smith, G. D. (2010). Association of Socioeconomic Position </w:t>
      </w:r>
      <w:proofErr w:type="gramStart"/>
      <w:r w:rsidRPr="00CD4BDB">
        <w:t>With</w:t>
      </w:r>
      <w:proofErr w:type="gramEnd"/>
      <w:r w:rsidRPr="00CD4BDB">
        <w:t xml:space="preserve"> Maternal Pregnancy and Infant Health Outcomes in Birth </w:t>
      </w:r>
      <w:r w:rsidRPr="00CD4BDB">
        <w:lastRenderedPageBreak/>
        <w:t xml:space="preserve">Cohort Studies </w:t>
      </w:r>
      <w:proofErr w:type="gramStart"/>
      <w:r w:rsidRPr="00CD4BDB">
        <w:t>From</w:t>
      </w:r>
      <w:proofErr w:type="gramEnd"/>
      <w:r w:rsidRPr="00CD4BDB">
        <w:t xml:space="preserve"> Brazil and the UK. </w:t>
      </w:r>
      <w:r w:rsidRPr="00CD4BDB">
        <w:rPr>
          <w:i/>
          <w:iCs/>
        </w:rPr>
        <w:t>Journal of Epidemiology &amp; Community Health</w:t>
      </w:r>
      <w:r w:rsidRPr="00CD4BDB">
        <w:t xml:space="preserve">, </w:t>
      </w:r>
      <w:r w:rsidRPr="00CD4BDB">
        <w:rPr>
          <w:i/>
          <w:iCs/>
        </w:rPr>
        <w:t>66</w:t>
      </w:r>
      <w:r w:rsidRPr="00CD4BDB">
        <w:t>(2), 127–135. https://doi.org/10.1136/jech.2010.108605</w:t>
      </w:r>
    </w:p>
    <w:p w14:paraId="5BCCAB68" w14:textId="77777777" w:rsidR="00091BDC" w:rsidRPr="00CD4BDB" w:rsidRDefault="00091BDC" w:rsidP="00CD4BDB">
      <w:pPr>
        <w:pStyle w:val="NormalWeb"/>
        <w:ind w:left="480" w:hanging="480"/>
        <w:jc w:val="both"/>
      </w:pPr>
      <w:r w:rsidRPr="00CD4BDB">
        <w:t xml:space="preserve">Modjadji, P., &amp; Madiba, S. (2022). The Multidimension of Malnutrition among School Children in a Rural Area, South Africa: A Mixed Methods Approach. </w:t>
      </w:r>
      <w:r w:rsidRPr="00CD4BDB">
        <w:rPr>
          <w:i/>
          <w:iCs/>
        </w:rPr>
        <w:t>Nutrients</w:t>
      </w:r>
      <w:r w:rsidRPr="00CD4BDB">
        <w:t xml:space="preserve">, </w:t>
      </w:r>
      <w:r w:rsidRPr="00CD4BDB">
        <w:rPr>
          <w:i/>
          <w:iCs/>
        </w:rPr>
        <w:t>14</w:t>
      </w:r>
      <w:r w:rsidRPr="00CD4BDB">
        <w:t>(23). https://doi.org/10.3390/nu14235015</w:t>
      </w:r>
    </w:p>
    <w:p w14:paraId="55D8A506" w14:textId="77777777" w:rsidR="00091BDC" w:rsidRPr="00CD4BDB" w:rsidRDefault="00091BDC" w:rsidP="00CD4BDB">
      <w:pPr>
        <w:pStyle w:val="NormalWeb"/>
        <w:ind w:left="480" w:hanging="480"/>
        <w:jc w:val="both"/>
      </w:pPr>
      <w:proofErr w:type="spellStart"/>
      <w:r w:rsidRPr="00CD4BDB">
        <w:t>Mozaffarian</w:t>
      </w:r>
      <w:proofErr w:type="spellEnd"/>
      <w:r w:rsidRPr="00CD4BDB">
        <w:t xml:space="preserve">, D., Afshin, A., Benowitz, N. L., Bittner, V., Daniels, S. R., Franch, H. A., Jacobs, D. R., Kraus, W. E., Kris‐Etherton, P. M., Krummel, D. A., Popkin, B. M., Whitsel, L. P., &amp; Zakai, N. A. (2012). Population Approaches to Improve Diet, Physical Activity, and Smoking Habits. </w:t>
      </w:r>
      <w:r w:rsidRPr="00CD4BDB">
        <w:rPr>
          <w:i/>
          <w:iCs/>
        </w:rPr>
        <w:t>Circulation</w:t>
      </w:r>
      <w:r w:rsidRPr="00CD4BDB">
        <w:t xml:space="preserve">, </w:t>
      </w:r>
      <w:r w:rsidRPr="00CD4BDB">
        <w:rPr>
          <w:i/>
          <w:iCs/>
        </w:rPr>
        <w:t>126</w:t>
      </w:r>
      <w:r w:rsidRPr="00CD4BDB">
        <w:t>(12), 1514–1563. https://doi.org/10.1161/cir.0b013e318260a20b</w:t>
      </w:r>
    </w:p>
    <w:p w14:paraId="733FB4C3" w14:textId="77777777" w:rsidR="00091BDC" w:rsidRPr="00CD4BDB" w:rsidRDefault="00091BDC" w:rsidP="00CD4BDB">
      <w:pPr>
        <w:pStyle w:val="NormalWeb"/>
        <w:ind w:left="480" w:hanging="480"/>
        <w:jc w:val="both"/>
      </w:pPr>
      <w:r w:rsidRPr="00CD4BDB">
        <w:t xml:space="preserve">Nakagiri, K., Sato, Y., &amp; Kawakami, T. (2024). Factors associated with the leftover rate of side dishes in Japanese school lunches. </w:t>
      </w:r>
      <w:r w:rsidRPr="00CD4BDB">
        <w:rPr>
          <w:i/>
          <w:iCs/>
        </w:rPr>
        <w:t>PLOS ONE</w:t>
      </w:r>
      <w:r w:rsidRPr="00CD4BDB">
        <w:t xml:space="preserve">, </w:t>
      </w:r>
      <w:r w:rsidRPr="00CD4BDB">
        <w:rPr>
          <w:i/>
          <w:iCs/>
        </w:rPr>
        <w:t>19</w:t>
      </w:r>
      <w:r w:rsidRPr="00CD4BDB">
        <w:t>(2 February). https://doi.org/10.1371/journal.pone.0298691</w:t>
      </w:r>
    </w:p>
    <w:p w14:paraId="6E069805" w14:textId="77777777" w:rsidR="00091BDC" w:rsidRPr="00CD4BDB" w:rsidRDefault="00091BDC" w:rsidP="00CD4BDB">
      <w:pPr>
        <w:pStyle w:val="NormalWeb"/>
        <w:ind w:left="480" w:hanging="480"/>
        <w:jc w:val="both"/>
      </w:pPr>
      <w:proofErr w:type="spellStart"/>
      <w:r w:rsidRPr="00CD4BDB">
        <w:t>Nwachan</w:t>
      </w:r>
      <w:proofErr w:type="spellEnd"/>
      <w:r w:rsidRPr="00CD4BDB">
        <w:t xml:space="preserve">, M. B., </w:t>
      </w:r>
      <w:proofErr w:type="spellStart"/>
      <w:r w:rsidRPr="00CD4BDB">
        <w:t>Ejoh</w:t>
      </w:r>
      <w:proofErr w:type="spellEnd"/>
      <w:r w:rsidRPr="00CD4BDB">
        <w:t xml:space="preserve">, R. A., Noumo, N. T., &amp; Njong, C. E. (2024). The Effects of Nutrition and Health Education on the Nutritional Status of Internally Displaced Schoolchildren in Cameroon: A Randomised Controlled Trial. </w:t>
      </w:r>
      <w:r w:rsidRPr="00CD4BDB">
        <w:rPr>
          <w:i/>
          <w:iCs/>
        </w:rPr>
        <w:t>Journal of Nutritional Science</w:t>
      </w:r>
      <w:r w:rsidRPr="00CD4BDB">
        <w:t xml:space="preserve">, </w:t>
      </w:r>
      <w:r w:rsidRPr="00CD4BDB">
        <w:rPr>
          <w:i/>
          <w:iCs/>
        </w:rPr>
        <w:t>13</w:t>
      </w:r>
      <w:r w:rsidRPr="00CD4BDB">
        <w:t>. https://doi.org/10.1017/jns.2024.8</w:t>
      </w:r>
    </w:p>
    <w:p w14:paraId="0E02E956" w14:textId="77777777" w:rsidR="00091BDC" w:rsidRPr="00CD4BDB" w:rsidRDefault="00091BDC" w:rsidP="00CD4BDB">
      <w:pPr>
        <w:pStyle w:val="NormalWeb"/>
        <w:ind w:left="480" w:hanging="480"/>
        <w:jc w:val="both"/>
      </w:pPr>
      <w:r w:rsidRPr="00CD4BDB">
        <w:t xml:space="preserve">O’Brien, K., Barnes, C., Yoong, S., Campbell, E., Wyse, R., Delaney, T., Brown, A., Stacey, F., Davies, L., Lorien, S., &amp; Hodder, R. K. (2021). School-Based Nutrition Interventions in Children Aged 6 to 18 Years: An Umbrella Review of Systematic Reviews. </w:t>
      </w:r>
      <w:r w:rsidRPr="00CD4BDB">
        <w:rPr>
          <w:i/>
          <w:iCs/>
        </w:rPr>
        <w:t>Nutrients</w:t>
      </w:r>
      <w:r w:rsidRPr="00CD4BDB">
        <w:t xml:space="preserve">, </w:t>
      </w:r>
      <w:r w:rsidRPr="00CD4BDB">
        <w:rPr>
          <w:i/>
          <w:iCs/>
        </w:rPr>
        <w:t>13</w:t>
      </w:r>
      <w:r w:rsidRPr="00CD4BDB">
        <w:t>(11), 4113. https://doi.org/10.3390/nu13114113</w:t>
      </w:r>
    </w:p>
    <w:p w14:paraId="20BE42EA" w14:textId="77777777" w:rsidR="00091BDC" w:rsidRPr="00CD4BDB" w:rsidRDefault="00091BDC" w:rsidP="00CD4BDB">
      <w:pPr>
        <w:pStyle w:val="NormalWeb"/>
        <w:ind w:left="480" w:hanging="480"/>
        <w:jc w:val="both"/>
      </w:pPr>
      <w:r w:rsidRPr="00CD4BDB">
        <w:t xml:space="preserve">Olstad, D. L., </w:t>
      </w:r>
      <w:proofErr w:type="spellStart"/>
      <w:r w:rsidRPr="00CD4BDB">
        <w:t>Ancilotto</w:t>
      </w:r>
      <w:proofErr w:type="spellEnd"/>
      <w:r w:rsidRPr="00CD4BDB">
        <w:t xml:space="preserve">, R., </w:t>
      </w:r>
      <w:proofErr w:type="spellStart"/>
      <w:r w:rsidRPr="00CD4BDB">
        <w:t>Teychenne</w:t>
      </w:r>
      <w:proofErr w:type="spellEnd"/>
      <w:r w:rsidRPr="00CD4BDB">
        <w:t xml:space="preserve">, M., Minaker, L., Taber, D. R., Raine, K. D., </w:t>
      </w:r>
      <w:proofErr w:type="spellStart"/>
      <w:r w:rsidRPr="00CD4BDB">
        <w:t>Nykiforuk</w:t>
      </w:r>
      <w:proofErr w:type="spellEnd"/>
      <w:r w:rsidRPr="00CD4BDB">
        <w:t xml:space="preserve">, C. I. J., &amp; Ball, K. (2017). Can Targeted Policies Reduce Obesity and Improve Obesity‐related Behaviours in Socioeconomically Disadvantaged Populations? A Systematic Review. </w:t>
      </w:r>
      <w:r w:rsidRPr="00CD4BDB">
        <w:rPr>
          <w:i/>
          <w:iCs/>
        </w:rPr>
        <w:t>Obesity Reviews</w:t>
      </w:r>
      <w:r w:rsidRPr="00CD4BDB">
        <w:t xml:space="preserve">, </w:t>
      </w:r>
      <w:r w:rsidRPr="00CD4BDB">
        <w:rPr>
          <w:i/>
          <w:iCs/>
        </w:rPr>
        <w:t>18</w:t>
      </w:r>
      <w:r w:rsidRPr="00CD4BDB">
        <w:t>(7), 791–807. https://doi.org/10.1111/obr.12546</w:t>
      </w:r>
    </w:p>
    <w:p w14:paraId="3E19C71A" w14:textId="77777777" w:rsidR="00091BDC" w:rsidRPr="00CD4BDB" w:rsidRDefault="00091BDC" w:rsidP="00CD4BDB">
      <w:pPr>
        <w:pStyle w:val="NormalWeb"/>
        <w:ind w:left="480" w:hanging="480"/>
        <w:jc w:val="both"/>
      </w:pPr>
      <w:r w:rsidRPr="00CD4BDB">
        <w:t xml:space="preserve">Øverby, N. C., Stea, T. H., Vik, F. N., Klepp, K., &amp; Bere, E. (2011). Changes in Meal Pattern Among Norwegian Children From 2001 to 2008. </w:t>
      </w:r>
      <w:r w:rsidRPr="00CD4BDB">
        <w:rPr>
          <w:i/>
          <w:iCs/>
        </w:rPr>
        <w:t>Public Health Nutrition</w:t>
      </w:r>
      <w:r w:rsidRPr="00CD4BDB">
        <w:t xml:space="preserve">, </w:t>
      </w:r>
      <w:r w:rsidRPr="00CD4BDB">
        <w:rPr>
          <w:i/>
          <w:iCs/>
        </w:rPr>
        <w:t>14</w:t>
      </w:r>
      <w:r w:rsidRPr="00CD4BDB">
        <w:t>(9), 1549–1554. https://doi.org/10.1017/s1368980010003599</w:t>
      </w:r>
    </w:p>
    <w:p w14:paraId="7DF7FDD8" w14:textId="77777777" w:rsidR="00091BDC" w:rsidRPr="00CD4BDB" w:rsidRDefault="00091BDC" w:rsidP="00CD4BDB">
      <w:pPr>
        <w:pStyle w:val="NormalWeb"/>
        <w:ind w:left="480" w:hanging="480"/>
        <w:jc w:val="both"/>
      </w:pPr>
      <w:r w:rsidRPr="00CD4BDB">
        <w:t xml:space="preserve">Paxton‐Aiken, A., Baxter, S. D., Tebbs, J. M., Finney, C. J., Guinn, C. H., &amp; Royer, J. A. (2012). How Accurate Are Parental Responses Concerning Their Fourth-Grade Children’s School-Meal Participation, and What Is the Relationship Between Children’s Body Mass Index and School-Meal Participation Based on Parental Responses? </w:t>
      </w:r>
      <w:r w:rsidRPr="00CD4BDB">
        <w:rPr>
          <w:i/>
          <w:iCs/>
        </w:rPr>
        <w:t xml:space="preserve">International Journal of </w:t>
      </w:r>
      <w:proofErr w:type="spellStart"/>
      <w:r w:rsidRPr="00CD4BDB">
        <w:rPr>
          <w:i/>
          <w:iCs/>
        </w:rPr>
        <w:t>Behavioral</w:t>
      </w:r>
      <w:proofErr w:type="spellEnd"/>
      <w:r w:rsidRPr="00CD4BDB">
        <w:rPr>
          <w:i/>
          <w:iCs/>
        </w:rPr>
        <w:t xml:space="preserve"> Nutrition and Physical Activity</w:t>
      </w:r>
      <w:r w:rsidRPr="00CD4BDB">
        <w:t xml:space="preserve">, </w:t>
      </w:r>
      <w:r w:rsidRPr="00CD4BDB">
        <w:rPr>
          <w:i/>
          <w:iCs/>
        </w:rPr>
        <w:t>9</w:t>
      </w:r>
      <w:r w:rsidRPr="00CD4BDB">
        <w:t>(1), 30. https://doi.org/10.1186/1479-5868-9-30</w:t>
      </w:r>
    </w:p>
    <w:p w14:paraId="2DD239A9" w14:textId="77777777" w:rsidR="00091BDC" w:rsidRPr="00CD4BDB" w:rsidRDefault="00091BDC" w:rsidP="00CD4BDB">
      <w:pPr>
        <w:pStyle w:val="NormalWeb"/>
        <w:ind w:left="480" w:hanging="480"/>
        <w:jc w:val="both"/>
      </w:pPr>
      <w:proofErr w:type="spellStart"/>
      <w:r w:rsidRPr="00CD4BDB">
        <w:t>Pienaah</w:t>
      </w:r>
      <w:proofErr w:type="spellEnd"/>
      <w:r w:rsidRPr="00CD4BDB">
        <w:t xml:space="preserve">, C. K. A., Saaka, S. A., </w:t>
      </w:r>
      <w:proofErr w:type="spellStart"/>
      <w:r w:rsidRPr="00CD4BDB">
        <w:t>Yengnone</w:t>
      </w:r>
      <w:proofErr w:type="spellEnd"/>
      <w:r w:rsidRPr="00CD4BDB">
        <w:t xml:space="preserve">, H. Z., Molle, M. N., &amp; </w:t>
      </w:r>
      <w:proofErr w:type="spellStart"/>
      <w:r w:rsidRPr="00CD4BDB">
        <w:t>Luginaah</w:t>
      </w:r>
      <w:proofErr w:type="spellEnd"/>
      <w:r w:rsidRPr="00CD4BDB">
        <w:t xml:space="preserve">, I. (2024). Does government food demonstration intervention influence household dietary diversity in the Upper West Region of Ghana? </w:t>
      </w:r>
      <w:r w:rsidRPr="00CD4BDB">
        <w:rPr>
          <w:i/>
          <w:iCs/>
        </w:rPr>
        <w:t>PLOS ONE</w:t>
      </w:r>
      <w:r w:rsidRPr="00CD4BDB">
        <w:t xml:space="preserve">, </w:t>
      </w:r>
      <w:r w:rsidRPr="00CD4BDB">
        <w:rPr>
          <w:i/>
          <w:iCs/>
        </w:rPr>
        <w:t>19</w:t>
      </w:r>
      <w:r w:rsidRPr="00CD4BDB">
        <w:t>(5 May). https://doi.org/10.1371/journal.pone.0302869</w:t>
      </w:r>
    </w:p>
    <w:p w14:paraId="74FADB56" w14:textId="77777777" w:rsidR="00091BDC" w:rsidRPr="00CD4BDB" w:rsidRDefault="00091BDC" w:rsidP="00CD4BDB">
      <w:pPr>
        <w:pStyle w:val="NormalWeb"/>
        <w:ind w:left="480" w:hanging="480"/>
        <w:jc w:val="both"/>
      </w:pPr>
      <w:proofErr w:type="spellStart"/>
      <w:r w:rsidRPr="00CD4BDB">
        <w:t>Quaidoo</w:t>
      </w:r>
      <w:proofErr w:type="spellEnd"/>
      <w:r w:rsidRPr="00CD4BDB">
        <w:t xml:space="preserve">, E., </w:t>
      </w:r>
      <w:proofErr w:type="spellStart"/>
      <w:r w:rsidRPr="00CD4BDB">
        <w:t>Ohemeng</w:t>
      </w:r>
      <w:proofErr w:type="spellEnd"/>
      <w:r w:rsidRPr="00CD4BDB">
        <w:t xml:space="preserve">, A., </w:t>
      </w:r>
      <w:proofErr w:type="spellStart"/>
      <w:r w:rsidRPr="00CD4BDB">
        <w:t>Kushitor</w:t>
      </w:r>
      <w:proofErr w:type="spellEnd"/>
      <w:r w:rsidRPr="00CD4BDB">
        <w:t xml:space="preserve">, S. B., &amp; Antwi, J. (2022). Nutrition Education Incorporation </w:t>
      </w:r>
      <w:proofErr w:type="gramStart"/>
      <w:r w:rsidRPr="00CD4BDB">
        <w:t>Into</w:t>
      </w:r>
      <w:proofErr w:type="gramEnd"/>
      <w:r w:rsidRPr="00CD4BDB">
        <w:t xml:space="preserve"> Mainstream Primary School Curriculum in Ghana: Stakeholders’ </w:t>
      </w:r>
      <w:r w:rsidRPr="00CD4BDB">
        <w:lastRenderedPageBreak/>
        <w:t xml:space="preserve">Sources of Nutrition Information and Perceived Barriers. </w:t>
      </w:r>
      <w:proofErr w:type="spellStart"/>
      <w:r w:rsidRPr="00CD4BDB">
        <w:rPr>
          <w:i/>
          <w:iCs/>
        </w:rPr>
        <w:t>Plos</w:t>
      </w:r>
      <w:proofErr w:type="spellEnd"/>
      <w:r w:rsidRPr="00CD4BDB">
        <w:rPr>
          <w:i/>
          <w:iCs/>
        </w:rPr>
        <w:t xml:space="preserve"> One</w:t>
      </w:r>
      <w:r w:rsidRPr="00CD4BDB">
        <w:t xml:space="preserve">, </w:t>
      </w:r>
      <w:r w:rsidRPr="00CD4BDB">
        <w:rPr>
          <w:i/>
          <w:iCs/>
        </w:rPr>
        <w:t>17</w:t>
      </w:r>
      <w:r w:rsidRPr="00CD4BDB">
        <w:t>(1), e0262359. https://doi.org/10.1371/journal.pone.0262359</w:t>
      </w:r>
    </w:p>
    <w:p w14:paraId="56BD755E" w14:textId="77777777" w:rsidR="00091BDC" w:rsidRPr="00CD4BDB" w:rsidRDefault="00091BDC" w:rsidP="00CD4BDB">
      <w:pPr>
        <w:pStyle w:val="NormalWeb"/>
        <w:ind w:left="480" w:hanging="480"/>
        <w:jc w:val="both"/>
      </w:pPr>
      <w:r w:rsidRPr="00CD4BDB">
        <w:t xml:space="preserve">Raber, M., Vazquez, M., Khan, S., Myneni, S., &amp; Thompson, D. (2023). Modern Home Cooking Practices, the Role of New Media, and Implications for Culinary Medicine: A Qualitative Study Among Mothers </w:t>
      </w:r>
      <w:proofErr w:type="gramStart"/>
      <w:r w:rsidRPr="00CD4BDB">
        <w:t>With</w:t>
      </w:r>
      <w:proofErr w:type="gramEnd"/>
      <w:r w:rsidRPr="00CD4BDB">
        <w:t xml:space="preserve"> Low Income. </w:t>
      </w:r>
      <w:r w:rsidRPr="00CD4BDB">
        <w:rPr>
          <w:i/>
          <w:iCs/>
        </w:rPr>
        <w:t>American Journal of Lifestyle Medicine</w:t>
      </w:r>
      <w:r w:rsidRPr="00CD4BDB">
        <w:t>. https://doi.org/10.1177/15598276231197181</w:t>
      </w:r>
    </w:p>
    <w:p w14:paraId="3D4C6C31" w14:textId="77777777" w:rsidR="00091BDC" w:rsidRPr="00CD4BDB" w:rsidRDefault="00091BDC" w:rsidP="00CD4BDB">
      <w:pPr>
        <w:pStyle w:val="NormalWeb"/>
        <w:ind w:left="480" w:hanging="480"/>
        <w:jc w:val="both"/>
      </w:pPr>
      <w:r w:rsidRPr="00CD4BDB">
        <w:t xml:space="preserve">Rathi, N., Riddell, L., &amp; Worsley, A. (2017). Food and Nutrition Education in Private Indian Secondary Schools. </w:t>
      </w:r>
      <w:r w:rsidRPr="00CD4BDB">
        <w:rPr>
          <w:i/>
          <w:iCs/>
        </w:rPr>
        <w:t>Health Education</w:t>
      </w:r>
      <w:r w:rsidRPr="00CD4BDB">
        <w:t xml:space="preserve">, </w:t>
      </w:r>
      <w:r w:rsidRPr="00CD4BDB">
        <w:rPr>
          <w:i/>
          <w:iCs/>
        </w:rPr>
        <w:t>117</w:t>
      </w:r>
      <w:r w:rsidRPr="00CD4BDB">
        <w:t>(2), 193–206. https://doi.org/10.1108/he-04-2016-0017</w:t>
      </w:r>
    </w:p>
    <w:p w14:paraId="37DF73DC" w14:textId="77777777" w:rsidR="00091BDC" w:rsidRPr="00CD4BDB" w:rsidRDefault="00091BDC" w:rsidP="00CD4BDB">
      <w:pPr>
        <w:pStyle w:val="NormalWeb"/>
        <w:ind w:left="480" w:hanging="480"/>
        <w:jc w:val="both"/>
      </w:pPr>
      <w:r w:rsidRPr="00CD4BDB">
        <w:t xml:space="preserve">Rector, C., Afifa, N. N., Gupta, V., Ismail, A., Mosha, D., </w:t>
      </w:r>
      <w:proofErr w:type="spellStart"/>
      <w:r w:rsidRPr="00CD4BDB">
        <w:t>Katalambula</w:t>
      </w:r>
      <w:proofErr w:type="spellEnd"/>
      <w:r w:rsidRPr="00CD4BDB">
        <w:t xml:space="preserve">, L. K., Vuai, S., Young, T., Hemler, E. C., Wang, D., &amp; Fawzi, W. W. (2021). School-Based Nutrition Programs for Adolescents in Dodoma, Tanzania: A Situation Analysis. </w:t>
      </w:r>
      <w:r w:rsidRPr="00CD4BDB">
        <w:rPr>
          <w:i/>
          <w:iCs/>
        </w:rPr>
        <w:t>Food and Nutrition Bulletin</w:t>
      </w:r>
      <w:r w:rsidRPr="00CD4BDB">
        <w:t xml:space="preserve">, </w:t>
      </w:r>
      <w:r w:rsidRPr="00CD4BDB">
        <w:rPr>
          <w:i/>
          <w:iCs/>
        </w:rPr>
        <w:t>42</w:t>
      </w:r>
      <w:r w:rsidRPr="00CD4BDB">
        <w:t>(3), 378–388. https://doi.org/10.1177/03795721211020715</w:t>
      </w:r>
    </w:p>
    <w:p w14:paraId="126C9385" w14:textId="77777777" w:rsidR="00091BDC" w:rsidRPr="00CD4BDB" w:rsidRDefault="00091BDC" w:rsidP="00CD4BDB">
      <w:pPr>
        <w:pStyle w:val="NormalWeb"/>
        <w:ind w:left="480" w:hanging="480"/>
        <w:jc w:val="both"/>
      </w:pPr>
      <w:proofErr w:type="spellStart"/>
      <w:r w:rsidRPr="00CD4BDB">
        <w:t>Rimbawan</w:t>
      </w:r>
      <w:proofErr w:type="spellEnd"/>
      <w:r w:rsidRPr="00CD4BDB">
        <w:t xml:space="preserve">, R., </w:t>
      </w:r>
      <w:proofErr w:type="spellStart"/>
      <w:r w:rsidRPr="00CD4BDB">
        <w:t>Nurdiani</w:t>
      </w:r>
      <w:proofErr w:type="spellEnd"/>
      <w:r w:rsidRPr="00CD4BDB">
        <w:t xml:space="preserve">, R., Rachman, P. H., Kawamata, Y., &amp; Nozawa, Y. (2023). School Lunch Programs and Nutritional Education Improve Knowledge, Attitudes, and Practices and Reduce the Prevalence of </w:t>
      </w:r>
      <w:proofErr w:type="spellStart"/>
      <w:r w:rsidRPr="00CD4BDB">
        <w:t>Anemia</w:t>
      </w:r>
      <w:proofErr w:type="spellEnd"/>
      <w:r w:rsidRPr="00CD4BDB">
        <w:t xml:space="preserve">: A Pre-Post Intervention Study in an Indonesian Islamic Boarding School. </w:t>
      </w:r>
      <w:r w:rsidRPr="00CD4BDB">
        <w:rPr>
          <w:i/>
          <w:iCs/>
        </w:rPr>
        <w:t>Nutrients</w:t>
      </w:r>
      <w:r w:rsidRPr="00CD4BDB">
        <w:t xml:space="preserve">, </w:t>
      </w:r>
      <w:r w:rsidRPr="00CD4BDB">
        <w:rPr>
          <w:i/>
          <w:iCs/>
        </w:rPr>
        <w:t>15</w:t>
      </w:r>
      <w:r w:rsidRPr="00CD4BDB">
        <w:t>(4). https://doi.org/10.3390/nu15041055</w:t>
      </w:r>
    </w:p>
    <w:p w14:paraId="6A640B90" w14:textId="77777777" w:rsidR="00091BDC" w:rsidRPr="00CD4BDB" w:rsidRDefault="00091BDC" w:rsidP="00CD4BDB">
      <w:pPr>
        <w:pStyle w:val="NormalWeb"/>
        <w:ind w:left="480" w:hanging="480"/>
        <w:jc w:val="both"/>
      </w:pPr>
      <w:r w:rsidRPr="00CD4BDB">
        <w:t xml:space="preserve">Roberts, K. R., Sauer, K., Páez, P., &amp; Alcorn, M. (2020). Use of the Theory of Planned </w:t>
      </w:r>
      <w:proofErr w:type="spellStart"/>
      <w:r w:rsidRPr="00CD4BDB">
        <w:t>Behavior</w:t>
      </w:r>
      <w:proofErr w:type="spellEnd"/>
      <w:r w:rsidRPr="00CD4BDB">
        <w:t xml:space="preserve"> to Determine Food Safety </w:t>
      </w:r>
      <w:proofErr w:type="spellStart"/>
      <w:r w:rsidRPr="00CD4BDB">
        <w:t>Behavioral</w:t>
      </w:r>
      <w:proofErr w:type="spellEnd"/>
      <w:r w:rsidRPr="00CD4BDB">
        <w:t xml:space="preserve"> Intentions Among Child Nutrition Employees. </w:t>
      </w:r>
      <w:r w:rsidRPr="00CD4BDB">
        <w:rPr>
          <w:i/>
          <w:iCs/>
        </w:rPr>
        <w:t>Food Protection Trends</w:t>
      </w:r>
      <w:r w:rsidRPr="00CD4BDB">
        <w:t xml:space="preserve">, </w:t>
      </w:r>
      <w:r w:rsidRPr="00CD4BDB">
        <w:rPr>
          <w:i/>
          <w:iCs/>
        </w:rPr>
        <w:t>40</w:t>
      </w:r>
      <w:r w:rsidRPr="00CD4BDB">
        <w:t>(6), 424. https://doi.org/10.4315/1541-9576-40.6.424</w:t>
      </w:r>
    </w:p>
    <w:p w14:paraId="1B1C80A3" w14:textId="77777777" w:rsidR="00091BDC" w:rsidRPr="00CD4BDB" w:rsidRDefault="00091BDC" w:rsidP="00CD4BDB">
      <w:pPr>
        <w:pStyle w:val="NormalWeb"/>
        <w:ind w:left="480" w:hanging="480"/>
        <w:jc w:val="both"/>
      </w:pPr>
      <w:r w:rsidRPr="00CD4BDB">
        <w:t xml:space="preserve">Rossi, L., Ferrari, M., Martone, D., Benvenuti, L., &amp; de Santis, A. (2021). The promotions of sustainable lunch meals in school feeding programs: The case of Italy. </w:t>
      </w:r>
      <w:r w:rsidRPr="00CD4BDB">
        <w:rPr>
          <w:i/>
          <w:iCs/>
        </w:rPr>
        <w:t>Nutrients</w:t>
      </w:r>
      <w:r w:rsidRPr="00CD4BDB">
        <w:t xml:space="preserve">, </w:t>
      </w:r>
      <w:r w:rsidRPr="00CD4BDB">
        <w:rPr>
          <w:i/>
          <w:iCs/>
        </w:rPr>
        <w:t>13</w:t>
      </w:r>
      <w:r w:rsidRPr="00CD4BDB">
        <w:t>(5). https://doi.org/10.3390/nu13051571</w:t>
      </w:r>
    </w:p>
    <w:p w14:paraId="2F7FA137" w14:textId="77777777" w:rsidR="00091BDC" w:rsidRPr="00CD4BDB" w:rsidRDefault="00091BDC" w:rsidP="00CD4BDB">
      <w:pPr>
        <w:pStyle w:val="NormalWeb"/>
        <w:ind w:left="480" w:hanging="480"/>
        <w:jc w:val="both"/>
      </w:pPr>
      <w:proofErr w:type="spellStart"/>
      <w:r w:rsidRPr="00CD4BDB">
        <w:t>Sagbo</w:t>
      </w:r>
      <w:proofErr w:type="spellEnd"/>
      <w:r w:rsidRPr="00CD4BDB">
        <w:t xml:space="preserve">, H., &amp; </w:t>
      </w:r>
      <w:proofErr w:type="spellStart"/>
      <w:r w:rsidRPr="00CD4BDB">
        <w:t>Kpodji</w:t>
      </w:r>
      <w:proofErr w:type="spellEnd"/>
      <w:r w:rsidRPr="00CD4BDB">
        <w:t xml:space="preserve">, P. (2023). Dietary diversity and associated factors among school-aged children and adolescents in </w:t>
      </w:r>
      <w:proofErr w:type="spellStart"/>
      <w:r w:rsidRPr="00CD4BDB">
        <w:t>Lokossa</w:t>
      </w:r>
      <w:proofErr w:type="spellEnd"/>
      <w:r w:rsidRPr="00CD4BDB">
        <w:t xml:space="preserve"> district of southern Benin: a cross-sectional study. </w:t>
      </w:r>
      <w:r w:rsidRPr="00CD4BDB">
        <w:rPr>
          <w:i/>
          <w:iCs/>
        </w:rPr>
        <w:t>BMJ Open</w:t>
      </w:r>
      <w:r w:rsidRPr="00CD4BDB">
        <w:t xml:space="preserve">, </w:t>
      </w:r>
      <w:r w:rsidRPr="00CD4BDB">
        <w:rPr>
          <w:i/>
          <w:iCs/>
        </w:rPr>
        <w:t>13</w:t>
      </w:r>
      <w:r w:rsidRPr="00CD4BDB">
        <w:t>(10). https://doi.org/10.1136/bmjopen-2022-066309</w:t>
      </w:r>
    </w:p>
    <w:p w14:paraId="4E589711" w14:textId="77777777" w:rsidR="00091BDC" w:rsidRPr="00CD4BDB" w:rsidRDefault="00091BDC" w:rsidP="00CD4BDB">
      <w:pPr>
        <w:pStyle w:val="NormalWeb"/>
        <w:ind w:left="480" w:hanging="480"/>
        <w:jc w:val="both"/>
      </w:pPr>
      <w:r w:rsidRPr="00CD4BDB">
        <w:t xml:space="preserve">Samnani, A. A., </w:t>
      </w:r>
      <w:proofErr w:type="spellStart"/>
      <w:r w:rsidRPr="00CD4BDB">
        <w:t>Karmaliani</w:t>
      </w:r>
      <w:proofErr w:type="spellEnd"/>
      <w:r w:rsidRPr="00CD4BDB">
        <w:t xml:space="preserve">, R., Nuruddin, R., </w:t>
      </w:r>
      <w:proofErr w:type="spellStart"/>
      <w:r w:rsidRPr="00CD4BDB">
        <w:t>Petrucka</w:t>
      </w:r>
      <w:proofErr w:type="spellEnd"/>
      <w:r w:rsidRPr="00CD4BDB">
        <w:t xml:space="preserve">, P., &amp; Soofi, S. (2024). Unveiling School Community Perceptions of Nutrition-Friendly School Initiatives in Preschool Settings in Rural Sindh Province, Pakistan: An Exploratory Study. </w:t>
      </w:r>
      <w:r w:rsidRPr="00CD4BDB">
        <w:rPr>
          <w:i/>
          <w:iCs/>
        </w:rPr>
        <w:t>Frontiers in Public Health</w:t>
      </w:r>
      <w:r w:rsidRPr="00CD4BDB">
        <w:t xml:space="preserve">, </w:t>
      </w:r>
      <w:r w:rsidRPr="00CD4BDB">
        <w:rPr>
          <w:i/>
          <w:iCs/>
        </w:rPr>
        <w:t>12</w:t>
      </w:r>
      <w:r w:rsidRPr="00CD4BDB">
        <w:t>. https://doi.org/10.3389/fpubh.2024.1379229</w:t>
      </w:r>
    </w:p>
    <w:p w14:paraId="37A84A15" w14:textId="77777777" w:rsidR="00091BDC" w:rsidRPr="00CD4BDB" w:rsidRDefault="00091BDC" w:rsidP="00CD4BDB">
      <w:pPr>
        <w:pStyle w:val="NormalWeb"/>
        <w:ind w:left="480" w:hanging="480"/>
        <w:jc w:val="both"/>
      </w:pPr>
      <w:proofErr w:type="spellStart"/>
      <w:r w:rsidRPr="00CD4BDB">
        <w:t>Sapwarobol</w:t>
      </w:r>
      <w:proofErr w:type="spellEnd"/>
      <w:r w:rsidRPr="00CD4BDB">
        <w:t xml:space="preserve">, S., &amp; </w:t>
      </w:r>
      <w:proofErr w:type="spellStart"/>
      <w:r w:rsidRPr="00CD4BDB">
        <w:t>Hataichanok</w:t>
      </w:r>
      <w:proofErr w:type="spellEnd"/>
      <w:r w:rsidRPr="00CD4BDB">
        <w:t xml:space="preserve">, T. (2024). Impact of a Novel Multicomponent Nutrition Program on Diet Consumption among Preschool Children. </w:t>
      </w:r>
      <w:r w:rsidRPr="00CD4BDB">
        <w:rPr>
          <w:i/>
          <w:iCs/>
        </w:rPr>
        <w:t>Child Care in Practice</w:t>
      </w:r>
      <w:r w:rsidRPr="00CD4BDB">
        <w:t xml:space="preserve">, </w:t>
      </w:r>
      <w:r w:rsidRPr="00CD4BDB">
        <w:rPr>
          <w:i/>
          <w:iCs/>
        </w:rPr>
        <w:t>30</w:t>
      </w:r>
      <w:r w:rsidRPr="00CD4BDB">
        <w:t>(3), 235–246. https://doi.org/10.1080/13575279.2021.1910489</w:t>
      </w:r>
    </w:p>
    <w:p w14:paraId="4E2ED87A" w14:textId="77777777" w:rsidR="00091BDC" w:rsidRPr="00CD4BDB" w:rsidRDefault="00091BDC" w:rsidP="00CD4BDB">
      <w:pPr>
        <w:pStyle w:val="NormalWeb"/>
        <w:ind w:left="480" w:hanging="480"/>
        <w:jc w:val="both"/>
      </w:pPr>
      <w:r w:rsidRPr="00CD4BDB">
        <w:t xml:space="preserve">Sarr, B., Fernandes, M., Banham, L., Bundy, D. A. P., Gillespie, A., McMahon, B., Peel, F., Tang, K. C., </w:t>
      </w:r>
      <w:proofErr w:type="spellStart"/>
      <w:r w:rsidRPr="00CD4BDB">
        <w:t>Tembon</w:t>
      </w:r>
      <w:proofErr w:type="spellEnd"/>
      <w:r w:rsidRPr="00CD4BDB">
        <w:t xml:space="preserve">, A. C., &amp; Drake, L. (2017). The Evolution of School Health and Nutrition in the Education Sector 2000–2015 in Sub-Saharan Africa. </w:t>
      </w:r>
      <w:r w:rsidRPr="00CD4BDB">
        <w:rPr>
          <w:i/>
          <w:iCs/>
        </w:rPr>
        <w:t>Frontiers in Public Health</w:t>
      </w:r>
      <w:r w:rsidRPr="00CD4BDB">
        <w:t xml:space="preserve">, </w:t>
      </w:r>
      <w:r w:rsidRPr="00CD4BDB">
        <w:rPr>
          <w:i/>
          <w:iCs/>
        </w:rPr>
        <w:t>4</w:t>
      </w:r>
      <w:r w:rsidRPr="00CD4BDB">
        <w:t>. https://doi.org/10.3389/fpubh.2016.00271</w:t>
      </w:r>
    </w:p>
    <w:p w14:paraId="763399C8" w14:textId="77777777" w:rsidR="00091BDC" w:rsidRPr="00CD4BDB" w:rsidRDefault="00091BDC" w:rsidP="00CD4BDB">
      <w:pPr>
        <w:pStyle w:val="NormalWeb"/>
        <w:ind w:left="480" w:hanging="480"/>
        <w:jc w:val="both"/>
      </w:pPr>
      <w:r w:rsidRPr="00CD4BDB">
        <w:lastRenderedPageBreak/>
        <w:t xml:space="preserve">Schultz, L., &amp; Bundy, D. A. P. (2022). School Health and Nutrition Monitoring: What Practitioners and Policy Makers Can Learn </w:t>
      </w:r>
      <w:proofErr w:type="gramStart"/>
      <w:r w:rsidRPr="00CD4BDB">
        <w:t>From</w:t>
      </w:r>
      <w:proofErr w:type="gramEnd"/>
      <w:r w:rsidRPr="00CD4BDB">
        <w:t xml:space="preserve"> China. </w:t>
      </w:r>
      <w:r w:rsidRPr="00CD4BDB">
        <w:rPr>
          <w:i/>
          <w:iCs/>
        </w:rPr>
        <w:t>The Lancet Regional Health - Western Pacific</w:t>
      </w:r>
      <w:r w:rsidRPr="00CD4BDB">
        <w:t xml:space="preserve">, </w:t>
      </w:r>
      <w:r w:rsidRPr="00CD4BDB">
        <w:rPr>
          <w:i/>
          <w:iCs/>
        </w:rPr>
        <w:t>19</w:t>
      </w:r>
      <w:r w:rsidRPr="00CD4BDB">
        <w:t>, 100368. https://doi.org/10.1016/j.lanwpc.2021.100368</w:t>
      </w:r>
    </w:p>
    <w:p w14:paraId="349F8937" w14:textId="77777777" w:rsidR="00091BDC" w:rsidRPr="00CD4BDB" w:rsidRDefault="00091BDC" w:rsidP="00CD4BDB">
      <w:pPr>
        <w:pStyle w:val="NormalWeb"/>
        <w:ind w:left="480" w:hanging="480"/>
        <w:jc w:val="both"/>
      </w:pPr>
      <w:r w:rsidRPr="00CD4BDB">
        <w:t xml:space="preserve">Sell, K., Amella, E. J., Mueller, M., Andrews, J. O., &amp; Wachs, J. E. (2016). Use of Social Cognitive Theory to Assess Salient Clinical Research in Chronic Disease Self-Management for Older Adults: An Integrative Review. </w:t>
      </w:r>
      <w:r w:rsidRPr="00CD4BDB">
        <w:rPr>
          <w:i/>
          <w:iCs/>
        </w:rPr>
        <w:t>Open Journal of Nursing</w:t>
      </w:r>
      <w:r w:rsidRPr="00CD4BDB">
        <w:t xml:space="preserve">, </w:t>
      </w:r>
      <w:r w:rsidRPr="00CD4BDB">
        <w:rPr>
          <w:i/>
          <w:iCs/>
        </w:rPr>
        <w:t>06</w:t>
      </w:r>
      <w:r w:rsidRPr="00CD4BDB">
        <w:t>(03), 213–228. https://doi.org/10.4236/ojn.2016.63022</w:t>
      </w:r>
    </w:p>
    <w:p w14:paraId="675FCAAF" w14:textId="77777777" w:rsidR="00091BDC" w:rsidRPr="00CD4BDB" w:rsidRDefault="00091BDC" w:rsidP="00CD4BDB">
      <w:pPr>
        <w:pStyle w:val="NormalWeb"/>
        <w:ind w:left="480" w:hanging="480"/>
        <w:jc w:val="both"/>
      </w:pPr>
      <w:proofErr w:type="spellStart"/>
      <w:r w:rsidRPr="00CD4BDB">
        <w:t>Sidaner</w:t>
      </w:r>
      <w:proofErr w:type="spellEnd"/>
      <w:r w:rsidRPr="00CD4BDB">
        <w:t xml:space="preserve">, E., Balaban, D., &amp; </w:t>
      </w:r>
      <w:proofErr w:type="spellStart"/>
      <w:r w:rsidRPr="00CD4BDB">
        <w:t>Burlandy</w:t>
      </w:r>
      <w:proofErr w:type="spellEnd"/>
      <w:r w:rsidRPr="00CD4BDB">
        <w:t xml:space="preserve">, L. (2012). The Brazilian School Feeding Programme: An Example of an Integrated Programme in Support of Food and Nutrition Security. </w:t>
      </w:r>
      <w:r w:rsidRPr="00CD4BDB">
        <w:rPr>
          <w:i/>
          <w:iCs/>
        </w:rPr>
        <w:t>Public Health Nutrition</w:t>
      </w:r>
      <w:r w:rsidRPr="00CD4BDB">
        <w:t xml:space="preserve">, </w:t>
      </w:r>
      <w:r w:rsidRPr="00CD4BDB">
        <w:rPr>
          <w:i/>
          <w:iCs/>
        </w:rPr>
        <w:t>16</w:t>
      </w:r>
      <w:r w:rsidRPr="00CD4BDB">
        <w:t>(6), 989–994. https://doi.org/10.1017/s1368980012005101</w:t>
      </w:r>
    </w:p>
    <w:p w14:paraId="60EF9542" w14:textId="77777777" w:rsidR="00091BDC" w:rsidRPr="00CD4BDB" w:rsidRDefault="00091BDC" w:rsidP="00CD4BDB">
      <w:pPr>
        <w:pStyle w:val="NormalWeb"/>
        <w:ind w:left="480" w:hanging="480"/>
        <w:jc w:val="both"/>
      </w:pPr>
      <w:r w:rsidRPr="00CD4BDB">
        <w:t xml:space="preserve">Soares, L. A., &amp; del </w:t>
      </w:r>
      <w:proofErr w:type="spellStart"/>
      <w:r w:rsidRPr="00CD4BDB">
        <w:t>Ciampo</w:t>
      </w:r>
      <w:proofErr w:type="spellEnd"/>
      <w:r w:rsidRPr="00CD4BDB">
        <w:t xml:space="preserve">, L. A. (2024). Nutritional Status and Food Consumption of Preschool-age Children: An Observational Cross-Sectional Study Carried Out in Schools Covered by the Brazilian School Feeding Program. </w:t>
      </w:r>
      <w:r w:rsidRPr="00CD4BDB">
        <w:rPr>
          <w:i/>
          <w:iCs/>
        </w:rPr>
        <w:t xml:space="preserve">International Journal of </w:t>
      </w:r>
      <w:proofErr w:type="spellStart"/>
      <w:r w:rsidRPr="00CD4BDB">
        <w:rPr>
          <w:i/>
          <w:iCs/>
        </w:rPr>
        <w:t>Nutrology</w:t>
      </w:r>
      <w:proofErr w:type="spellEnd"/>
      <w:r w:rsidRPr="00CD4BDB">
        <w:t xml:space="preserve">, </w:t>
      </w:r>
      <w:r w:rsidRPr="00CD4BDB">
        <w:rPr>
          <w:i/>
          <w:iCs/>
        </w:rPr>
        <w:t>17</w:t>
      </w:r>
      <w:r w:rsidRPr="00CD4BDB">
        <w:t>(3). https://doi.org/10.54448/ijn24312</w:t>
      </w:r>
    </w:p>
    <w:p w14:paraId="623DDE37" w14:textId="77777777" w:rsidR="00091BDC" w:rsidRPr="00CD4BDB" w:rsidRDefault="00091BDC" w:rsidP="00CD4BDB">
      <w:pPr>
        <w:pStyle w:val="NormalWeb"/>
        <w:ind w:left="480" w:hanging="480"/>
        <w:jc w:val="both"/>
      </w:pPr>
      <w:r w:rsidRPr="00CD4BDB">
        <w:t xml:space="preserve">Stillwell, S. B., Vermeesch, A., &amp; Scott, J. (2017). Interventions to Reduce Perceived Stress Among Graduate Students: A Systematic Review </w:t>
      </w:r>
      <w:proofErr w:type="gramStart"/>
      <w:r w:rsidRPr="00CD4BDB">
        <w:t>With</w:t>
      </w:r>
      <w:proofErr w:type="gramEnd"/>
      <w:r w:rsidRPr="00CD4BDB">
        <w:t xml:space="preserve"> Implications for Evidence‐Based Practice. </w:t>
      </w:r>
      <w:r w:rsidRPr="00CD4BDB">
        <w:rPr>
          <w:i/>
          <w:iCs/>
        </w:rPr>
        <w:t>Worldviews on Evidence-Based Nursing</w:t>
      </w:r>
      <w:r w:rsidRPr="00CD4BDB">
        <w:t xml:space="preserve">, </w:t>
      </w:r>
      <w:r w:rsidRPr="00CD4BDB">
        <w:rPr>
          <w:i/>
          <w:iCs/>
        </w:rPr>
        <w:t>14</w:t>
      </w:r>
      <w:r w:rsidRPr="00CD4BDB">
        <w:t>(6), 507–513. https://doi.org/10.1111/wvn.12250</w:t>
      </w:r>
    </w:p>
    <w:p w14:paraId="7A82CAA1" w14:textId="77777777" w:rsidR="00091BDC" w:rsidRPr="00CD4BDB" w:rsidRDefault="00091BDC" w:rsidP="00CD4BDB">
      <w:pPr>
        <w:pStyle w:val="NormalWeb"/>
        <w:ind w:left="480" w:hanging="480"/>
        <w:jc w:val="both"/>
      </w:pPr>
      <w:r w:rsidRPr="00CD4BDB">
        <w:t xml:space="preserve">Stringer, A., Bayes, N., Bradley, S., Kay, A. D., Jones, P. G. W., &amp; Ryan, D. J. (2022). A mixed-method process evaluation of an </w:t>
      </w:r>
      <w:proofErr w:type="gramStart"/>
      <w:r w:rsidRPr="00CD4BDB">
        <w:t>East Midlands county</w:t>
      </w:r>
      <w:proofErr w:type="gramEnd"/>
      <w:r w:rsidRPr="00CD4BDB">
        <w:t xml:space="preserve"> summer 2021 holiday activities and food programme highlighting the views of programme co-ordinators, providers, and parents. </w:t>
      </w:r>
      <w:r w:rsidRPr="00CD4BDB">
        <w:rPr>
          <w:i/>
          <w:iCs/>
        </w:rPr>
        <w:t>Frontiers in Public Health</w:t>
      </w:r>
      <w:r w:rsidRPr="00CD4BDB">
        <w:t xml:space="preserve">, </w:t>
      </w:r>
      <w:r w:rsidRPr="00CD4BDB">
        <w:rPr>
          <w:i/>
          <w:iCs/>
        </w:rPr>
        <w:t>10</w:t>
      </w:r>
      <w:r w:rsidRPr="00CD4BDB">
        <w:t>. https://doi.org/10.3389/fpubh.2022.912455</w:t>
      </w:r>
    </w:p>
    <w:p w14:paraId="06A47CDA" w14:textId="77777777" w:rsidR="00091BDC" w:rsidRPr="00CD4BDB" w:rsidRDefault="00091BDC" w:rsidP="00CD4BDB">
      <w:pPr>
        <w:pStyle w:val="NormalWeb"/>
        <w:ind w:left="480" w:hanging="480"/>
        <w:jc w:val="both"/>
      </w:pPr>
      <w:r w:rsidRPr="00CD4BDB">
        <w:t xml:space="preserve">Tandoh, A., </w:t>
      </w:r>
      <w:proofErr w:type="spellStart"/>
      <w:r w:rsidRPr="00CD4BDB">
        <w:t>Amevinya</w:t>
      </w:r>
      <w:proofErr w:type="spellEnd"/>
      <w:r w:rsidRPr="00CD4BDB">
        <w:t xml:space="preserve">, G. S., Addo, P., &amp; Laar, A. (2022). NUTRITION-SENSITIVE EDUCATION AND SOCIAL PROTECTION POLICIES HAVE IMPLICATIONS FOR FOOD-BASED DIETARY GUIDELINES FOR GHANA. </w:t>
      </w:r>
      <w:r w:rsidRPr="00CD4BDB">
        <w:rPr>
          <w:i/>
          <w:iCs/>
        </w:rPr>
        <w:t>African Journal of Food, Agriculture, Nutrition and Development</w:t>
      </w:r>
      <w:r w:rsidRPr="00CD4BDB">
        <w:t xml:space="preserve">, </w:t>
      </w:r>
      <w:r w:rsidRPr="00CD4BDB">
        <w:rPr>
          <w:i/>
          <w:iCs/>
        </w:rPr>
        <w:t>22</w:t>
      </w:r>
      <w:r w:rsidRPr="00CD4BDB">
        <w:t>(2), 19386–19416. https://doi.org/10.18697/ajfand.107.21770</w:t>
      </w:r>
    </w:p>
    <w:p w14:paraId="6F565C22" w14:textId="77777777" w:rsidR="00091BDC" w:rsidRPr="00CD4BDB" w:rsidRDefault="00091BDC" w:rsidP="00CD4BDB">
      <w:pPr>
        <w:pStyle w:val="NormalWeb"/>
        <w:ind w:left="480" w:hanging="480"/>
        <w:jc w:val="both"/>
      </w:pPr>
      <w:r w:rsidRPr="00CD4BDB">
        <w:t xml:space="preserve">Teo, C. H., Chin, Y. S., Lim, P. Y., Masrom, S. A. H., &amp; Shariff, Z. M. (2019). School-Based Intervention That Integrates Nutrition Education and Supportive Healthy School Food Environment Among Malaysian Primary School Children: A Study Protocol. </w:t>
      </w:r>
      <w:r w:rsidRPr="00CD4BDB">
        <w:rPr>
          <w:i/>
          <w:iCs/>
        </w:rPr>
        <w:t>BMC Public Health</w:t>
      </w:r>
      <w:r w:rsidRPr="00CD4BDB">
        <w:t xml:space="preserve">, </w:t>
      </w:r>
      <w:r w:rsidRPr="00CD4BDB">
        <w:rPr>
          <w:i/>
          <w:iCs/>
        </w:rPr>
        <w:t>19</w:t>
      </w:r>
      <w:r w:rsidRPr="00CD4BDB">
        <w:t>(1). https://doi.org/10.1186/s12889-019-7708-y</w:t>
      </w:r>
    </w:p>
    <w:p w14:paraId="5F19733E" w14:textId="77777777" w:rsidR="00091BDC" w:rsidRPr="00CD4BDB" w:rsidRDefault="00091BDC" w:rsidP="00CD4BDB">
      <w:pPr>
        <w:pStyle w:val="NormalWeb"/>
        <w:ind w:left="480" w:hanging="480"/>
        <w:jc w:val="both"/>
      </w:pPr>
      <w:proofErr w:type="spellStart"/>
      <w:r w:rsidRPr="00CD4BDB">
        <w:t>Varı</w:t>
      </w:r>
      <w:proofErr w:type="spellEnd"/>
      <w:r w:rsidRPr="00CD4BDB">
        <w:t xml:space="preserve">́, R., </w:t>
      </w:r>
      <w:proofErr w:type="spellStart"/>
      <w:r w:rsidRPr="00CD4BDB">
        <w:t>d’Amore</w:t>
      </w:r>
      <w:proofErr w:type="spellEnd"/>
      <w:r w:rsidRPr="00CD4BDB">
        <w:t xml:space="preserve">, A., </w:t>
      </w:r>
      <w:proofErr w:type="spellStart"/>
      <w:r w:rsidRPr="00CD4BDB">
        <w:t>Silenzi</w:t>
      </w:r>
      <w:proofErr w:type="spellEnd"/>
      <w:r w:rsidRPr="00CD4BDB">
        <w:t xml:space="preserve">, A., </w:t>
      </w:r>
      <w:proofErr w:type="spellStart"/>
      <w:r w:rsidRPr="00CD4BDB">
        <w:t>Chiarotti</w:t>
      </w:r>
      <w:proofErr w:type="spellEnd"/>
      <w:r w:rsidRPr="00CD4BDB">
        <w:t xml:space="preserve">, F., Papa, S. D., Giovannini, C., </w:t>
      </w:r>
      <w:proofErr w:type="spellStart"/>
      <w:r w:rsidRPr="00CD4BDB">
        <w:t>Scazzocchio</w:t>
      </w:r>
      <w:proofErr w:type="spellEnd"/>
      <w:r w:rsidRPr="00CD4BDB">
        <w:t xml:space="preserve">, B., &amp; Masella, R. (2022). Improving Nutrition Knowledge and Skills by the Innovative Education Program </w:t>
      </w:r>
      <w:proofErr w:type="spellStart"/>
      <w:r w:rsidRPr="00CD4BDB">
        <w:t>MaestraNatura</w:t>
      </w:r>
      <w:proofErr w:type="spellEnd"/>
      <w:r w:rsidRPr="00CD4BDB">
        <w:t xml:space="preserve"> in Middle School Students of Italy. </w:t>
      </w:r>
      <w:r w:rsidRPr="00CD4BDB">
        <w:rPr>
          <w:i/>
          <w:iCs/>
        </w:rPr>
        <w:t>Nutrients</w:t>
      </w:r>
      <w:r w:rsidRPr="00CD4BDB">
        <w:t xml:space="preserve">, </w:t>
      </w:r>
      <w:r w:rsidRPr="00CD4BDB">
        <w:rPr>
          <w:i/>
          <w:iCs/>
        </w:rPr>
        <w:t>14</w:t>
      </w:r>
      <w:r w:rsidRPr="00CD4BDB">
        <w:t>(10), 2037. https://doi.org/10.3390/nu14102037</w:t>
      </w:r>
    </w:p>
    <w:p w14:paraId="6E670B21" w14:textId="77777777" w:rsidR="00091BDC" w:rsidRPr="00CD4BDB" w:rsidRDefault="00091BDC" w:rsidP="00CD4BDB">
      <w:pPr>
        <w:pStyle w:val="NormalWeb"/>
        <w:ind w:left="480" w:hanging="480"/>
        <w:jc w:val="both"/>
      </w:pPr>
      <w:proofErr w:type="spellStart"/>
      <w:r w:rsidRPr="00CD4BDB">
        <w:t>Verguet</w:t>
      </w:r>
      <w:proofErr w:type="spellEnd"/>
      <w:r w:rsidRPr="00CD4BDB">
        <w:t xml:space="preserve">, S., Gautam, P., Ali, I., Husain, A., Meyer, S., Burbano, C., Lloyd-Evans, E., Coco, M., </w:t>
      </w:r>
      <w:proofErr w:type="spellStart"/>
      <w:r w:rsidRPr="00CD4BDB">
        <w:t>Mphangwe</w:t>
      </w:r>
      <w:proofErr w:type="spellEnd"/>
      <w:r w:rsidRPr="00CD4BDB">
        <w:t xml:space="preserve">, M., Saka, A., Zelalem, M., </w:t>
      </w:r>
      <w:proofErr w:type="spellStart"/>
      <w:r w:rsidRPr="00CD4BDB">
        <w:t>Giyose</w:t>
      </w:r>
      <w:proofErr w:type="spellEnd"/>
      <w:r w:rsidRPr="00CD4BDB">
        <w:t xml:space="preserve">, B. B., Li, Z., </w:t>
      </w:r>
      <w:proofErr w:type="spellStart"/>
      <w:r w:rsidRPr="00CD4BDB">
        <w:t>Erzse</w:t>
      </w:r>
      <w:proofErr w:type="spellEnd"/>
      <w:r w:rsidRPr="00CD4BDB">
        <w:t xml:space="preserve">, A., Hofman, K., Giner, C., Avallone, S., </w:t>
      </w:r>
      <w:proofErr w:type="spellStart"/>
      <w:r w:rsidRPr="00CD4BDB">
        <w:t>Kuusipalo</w:t>
      </w:r>
      <w:proofErr w:type="spellEnd"/>
      <w:r w:rsidRPr="00CD4BDB">
        <w:t xml:space="preserve">, H., Kristjansson, E., … Angrist, N. (2023). Investing in school systems: Conceptualising returns on investment across the health, education and </w:t>
      </w:r>
      <w:r w:rsidRPr="00CD4BDB">
        <w:lastRenderedPageBreak/>
        <w:t xml:space="preserve">social protection sectors. </w:t>
      </w:r>
      <w:r w:rsidRPr="00CD4BDB">
        <w:rPr>
          <w:i/>
          <w:iCs/>
        </w:rPr>
        <w:t>BMJ Global Health</w:t>
      </w:r>
      <w:r w:rsidRPr="00CD4BDB">
        <w:t xml:space="preserve">, </w:t>
      </w:r>
      <w:r w:rsidRPr="00CD4BDB">
        <w:rPr>
          <w:i/>
          <w:iCs/>
        </w:rPr>
        <w:t>8</w:t>
      </w:r>
      <w:r w:rsidRPr="00CD4BDB">
        <w:t>(12). https://doi.org/10.1136/bmjgh-2023-012545</w:t>
      </w:r>
    </w:p>
    <w:p w14:paraId="0222E9A0" w14:textId="77777777" w:rsidR="00091BDC" w:rsidRPr="00CD4BDB" w:rsidRDefault="00091BDC" w:rsidP="00CD4BDB">
      <w:pPr>
        <w:pStyle w:val="NormalWeb"/>
        <w:ind w:left="480" w:hanging="480"/>
        <w:jc w:val="both"/>
      </w:pPr>
      <w:r w:rsidRPr="00CD4BDB">
        <w:t xml:space="preserve">Vik, F. N., </w:t>
      </w:r>
      <w:proofErr w:type="spellStart"/>
      <w:r w:rsidRPr="00CD4BDB">
        <w:t>Lippevelde</w:t>
      </w:r>
      <w:proofErr w:type="spellEnd"/>
      <w:r w:rsidRPr="00CD4BDB">
        <w:t xml:space="preserve">, W. V, &amp; Øverby, N. C. (2019). Free School Meals as an Approach to Reduce Health Inequalities Among 10–12- Year-Old Norwegian Children. </w:t>
      </w:r>
      <w:r w:rsidRPr="00CD4BDB">
        <w:rPr>
          <w:i/>
          <w:iCs/>
        </w:rPr>
        <w:t>BMC Public Health</w:t>
      </w:r>
      <w:r w:rsidRPr="00CD4BDB">
        <w:t xml:space="preserve">, </w:t>
      </w:r>
      <w:r w:rsidRPr="00CD4BDB">
        <w:rPr>
          <w:i/>
          <w:iCs/>
        </w:rPr>
        <w:t>19</w:t>
      </w:r>
      <w:r w:rsidRPr="00CD4BDB">
        <w:t>(1). https://doi.org/10.1186/s12889-019-7286-z</w:t>
      </w:r>
    </w:p>
    <w:p w14:paraId="106963B0" w14:textId="77777777" w:rsidR="00091BDC" w:rsidRPr="00CD4BDB" w:rsidRDefault="00091BDC" w:rsidP="00CD4BDB">
      <w:pPr>
        <w:pStyle w:val="NormalWeb"/>
        <w:ind w:left="480" w:hanging="480"/>
        <w:jc w:val="both"/>
      </w:pPr>
      <w:r w:rsidRPr="00CD4BDB">
        <w:t xml:space="preserve">Wang, D., </w:t>
      </w:r>
      <w:proofErr w:type="spellStart"/>
      <w:r w:rsidRPr="00CD4BDB">
        <w:t>Katalambula</w:t>
      </w:r>
      <w:proofErr w:type="spellEnd"/>
      <w:r w:rsidRPr="00CD4BDB">
        <w:t xml:space="preserve">, L. K., Modest, A. R., Ismail, A., </w:t>
      </w:r>
      <w:proofErr w:type="spellStart"/>
      <w:r w:rsidRPr="00CD4BDB">
        <w:t>Malero</w:t>
      </w:r>
      <w:proofErr w:type="spellEnd"/>
      <w:r w:rsidRPr="00CD4BDB">
        <w:t xml:space="preserve">, A., Bray, D., Cinq-Mars, H., </w:t>
      </w:r>
      <w:proofErr w:type="spellStart"/>
      <w:r w:rsidRPr="00CD4BDB">
        <w:t>Tinkasimile</w:t>
      </w:r>
      <w:proofErr w:type="spellEnd"/>
      <w:r w:rsidRPr="00CD4BDB">
        <w:t xml:space="preserve">, A., </w:t>
      </w:r>
      <w:proofErr w:type="spellStart"/>
      <w:r w:rsidRPr="00CD4BDB">
        <w:t>Mwanyika</w:t>
      </w:r>
      <w:proofErr w:type="spellEnd"/>
      <w:r w:rsidRPr="00CD4BDB">
        <w:t xml:space="preserve">-Sando, M. M., Vuai, S., &amp; Fawzi, W. W. (2024). Meals, Education, and Gardens for In-School Adolescents: A Cluster Randomized Trial of an Adolescent Nutrition Intervention Package in Tanzania. </w:t>
      </w:r>
      <w:r w:rsidRPr="00CD4BDB">
        <w:rPr>
          <w:i/>
          <w:iCs/>
        </w:rPr>
        <w:t>Journal of Adolescent Health</w:t>
      </w:r>
      <w:r w:rsidRPr="00CD4BDB">
        <w:t xml:space="preserve">, </w:t>
      </w:r>
      <w:r w:rsidRPr="00CD4BDB">
        <w:rPr>
          <w:i/>
          <w:iCs/>
        </w:rPr>
        <w:t>75</w:t>
      </w:r>
      <w:r w:rsidRPr="00CD4BDB">
        <w:t>(1), 115–126. https://doi.org/10.1016/j.jadohealth.2024.02.032</w:t>
      </w:r>
    </w:p>
    <w:p w14:paraId="36221222" w14:textId="77777777" w:rsidR="00091BDC" w:rsidRPr="00CD4BDB" w:rsidRDefault="00091BDC" w:rsidP="00CD4BDB">
      <w:pPr>
        <w:pStyle w:val="NormalWeb"/>
        <w:ind w:left="480" w:hanging="480"/>
        <w:jc w:val="both"/>
      </w:pPr>
      <w:r w:rsidRPr="00CD4BDB">
        <w:t>Wineman, A., Ekwueme, M. C., Bigayimpunzi, L., Martin-</w:t>
      </w:r>
      <w:proofErr w:type="spellStart"/>
      <w:r w:rsidRPr="00CD4BDB">
        <w:t>Daihirou</w:t>
      </w:r>
      <w:proofErr w:type="spellEnd"/>
      <w:r w:rsidRPr="00CD4BDB">
        <w:t xml:space="preserve">, A., Rodrigues, E. L. de G. V. N., </w:t>
      </w:r>
      <w:proofErr w:type="spellStart"/>
      <w:r w:rsidRPr="00CD4BDB">
        <w:t>Etuge</w:t>
      </w:r>
      <w:proofErr w:type="spellEnd"/>
      <w:r w:rsidRPr="00CD4BDB">
        <w:t xml:space="preserve">, P., Warner, Y., Kessler, H., &amp; Mitchell, A. (2022). School Meal Programs in Africa: Regional Results From the 2019 Global Survey of School Meal Programs. </w:t>
      </w:r>
      <w:r w:rsidRPr="00CD4BDB">
        <w:rPr>
          <w:i/>
          <w:iCs/>
        </w:rPr>
        <w:t>Frontiers in Public Health</w:t>
      </w:r>
      <w:r w:rsidRPr="00CD4BDB">
        <w:t xml:space="preserve">, </w:t>
      </w:r>
      <w:r w:rsidRPr="00CD4BDB">
        <w:rPr>
          <w:i/>
          <w:iCs/>
        </w:rPr>
        <w:t>10</w:t>
      </w:r>
      <w:r w:rsidRPr="00CD4BDB">
        <w:t>. https://doi.org/10.3389/fpubh.2022.871866</w:t>
      </w:r>
    </w:p>
    <w:p w14:paraId="541E7FDC" w14:textId="77777777" w:rsidR="00091BDC" w:rsidRPr="00CD4BDB" w:rsidRDefault="00091BDC" w:rsidP="00CD4BDB">
      <w:pPr>
        <w:pStyle w:val="NormalWeb"/>
        <w:ind w:left="480" w:hanging="480"/>
        <w:jc w:val="both"/>
      </w:pPr>
      <w:proofErr w:type="spellStart"/>
      <w:r w:rsidRPr="00CD4BDB">
        <w:t>Wisnuwardani</w:t>
      </w:r>
      <w:proofErr w:type="spellEnd"/>
      <w:r w:rsidRPr="00CD4BDB">
        <w:t xml:space="preserve">, R. W., Wulandari, S., &amp; Kartika, A. D. (2023). Health Education to Prevent </w:t>
      </w:r>
      <w:proofErr w:type="spellStart"/>
      <w:r w:rsidRPr="00CD4BDB">
        <w:t>Anemia</w:t>
      </w:r>
      <w:proofErr w:type="spellEnd"/>
      <w:r w:rsidRPr="00CD4BDB">
        <w:t xml:space="preserve"> Among Adolescents in </w:t>
      </w:r>
      <w:proofErr w:type="spellStart"/>
      <w:r w:rsidRPr="00CD4BDB">
        <w:t>Samarinda</w:t>
      </w:r>
      <w:proofErr w:type="spellEnd"/>
      <w:r w:rsidRPr="00CD4BDB">
        <w:t xml:space="preserve">, Indonesia. </w:t>
      </w:r>
      <w:proofErr w:type="spellStart"/>
      <w:r w:rsidRPr="00CD4BDB">
        <w:rPr>
          <w:i/>
          <w:iCs/>
        </w:rPr>
        <w:t>Abdimas</w:t>
      </w:r>
      <w:proofErr w:type="spellEnd"/>
      <w:r w:rsidRPr="00CD4BDB">
        <w:rPr>
          <w:i/>
          <w:iCs/>
        </w:rPr>
        <w:t xml:space="preserve"> </w:t>
      </w:r>
      <w:proofErr w:type="spellStart"/>
      <w:r w:rsidRPr="00CD4BDB">
        <w:rPr>
          <w:i/>
          <w:iCs/>
        </w:rPr>
        <w:t>Jurnal</w:t>
      </w:r>
      <w:proofErr w:type="spellEnd"/>
      <w:r w:rsidRPr="00CD4BDB">
        <w:rPr>
          <w:i/>
          <w:iCs/>
        </w:rPr>
        <w:t xml:space="preserve"> </w:t>
      </w:r>
      <w:proofErr w:type="spellStart"/>
      <w:r w:rsidRPr="00CD4BDB">
        <w:rPr>
          <w:i/>
          <w:iCs/>
        </w:rPr>
        <w:t>Pengabdian</w:t>
      </w:r>
      <w:proofErr w:type="spellEnd"/>
      <w:r w:rsidRPr="00CD4BDB">
        <w:rPr>
          <w:i/>
          <w:iCs/>
        </w:rPr>
        <w:t xml:space="preserve"> Masyarakat Universitas Merdeka Malang</w:t>
      </w:r>
      <w:r w:rsidRPr="00CD4BDB">
        <w:t xml:space="preserve">, </w:t>
      </w:r>
      <w:r w:rsidRPr="00CD4BDB">
        <w:rPr>
          <w:i/>
          <w:iCs/>
        </w:rPr>
        <w:t>8</w:t>
      </w:r>
      <w:r w:rsidRPr="00CD4BDB">
        <w:t>(2), 288–296. https://doi.org/10.26905/abdimas.v8i2.9224</w:t>
      </w:r>
    </w:p>
    <w:p w14:paraId="311C0F23" w14:textId="77777777" w:rsidR="00091BDC" w:rsidRPr="00CD4BDB" w:rsidRDefault="00091BDC" w:rsidP="00CD4BDB">
      <w:pPr>
        <w:pStyle w:val="NormalWeb"/>
        <w:ind w:left="480" w:hanging="480"/>
        <w:jc w:val="both"/>
      </w:pPr>
      <w:r w:rsidRPr="00CD4BDB">
        <w:t xml:space="preserve">Xu, Y., Bi, X., Gao, T., Yang, T., Xu, P., Gan, Q., Xu, J., Cao, W., Wang, H., Pan, H., Ren, Z., Yin, C., &amp; Zhang, Q. (2022). Effect of School-Based Nutrition and Health Education for Rural Chinese Children. </w:t>
      </w:r>
      <w:r w:rsidRPr="00CD4BDB">
        <w:rPr>
          <w:i/>
          <w:iCs/>
        </w:rPr>
        <w:t>Nutrients</w:t>
      </w:r>
      <w:r w:rsidRPr="00CD4BDB">
        <w:t xml:space="preserve">, </w:t>
      </w:r>
      <w:r w:rsidRPr="00CD4BDB">
        <w:rPr>
          <w:i/>
          <w:iCs/>
        </w:rPr>
        <w:t>14</w:t>
      </w:r>
      <w:r w:rsidRPr="00CD4BDB">
        <w:t>(19), 3997. https://doi.org/10.3390/nu14193997</w:t>
      </w:r>
    </w:p>
    <w:p w14:paraId="1C7D80FE" w14:textId="77777777" w:rsidR="00091BDC" w:rsidRPr="00CD4BDB" w:rsidRDefault="00091BDC" w:rsidP="00CD4BDB">
      <w:pPr>
        <w:pStyle w:val="NormalWeb"/>
        <w:ind w:left="480" w:hanging="480"/>
        <w:jc w:val="both"/>
      </w:pPr>
      <w:r w:rsidRPr="00CD4BDB">
        <w:t xml:space="preserve">Yoong, S. L., Lum, M., Jones, J., Kerr, E., Falkiner, M., Delaney, T., McCrabb, S., Chai, L. K., Seward, K., &amp; Grady, A. (2020). A Systematic Review of Interventions to Improve the Dietary Intake, Physical Activity and Weight Status of Children Attending Family Day Care Services. </w:t>
      </w:r>
      <w:r w:rsidRPr="00CD4BDB">
        <w:rPr>
          <w:i/>
          <w:iCs/>
        </w:rPr>
        <w:t>Public Health Nutrition</w:t>
      </w:r>
      <w:r w:rsidRPr="00CD4BDB">
        <w:t xml:space="preserve">, </w:t>
      </w:r>
      <w:r w:rsidRPr="00CD4BDB">
        <w:rPr>
          <w:i/>
          <w:iCs/>
        </w:rPr>
        <w:t>23</w:t>
      </w:r>
      <w:r w:rsidRPr="00CD4BDB">
        <w:t>(12), 2211–2220. https://doi.org/10.1017/s1368980019005275</w:t>
      </w:r>
    </w:p>
    <w:p w14:paraId="15CA4A7F" w14:textId="77777777" w:rsidR="00091BDC" w:rsidRPr="00CD4BDB" w:rsidRDefault="00091BDC" w:rsidP="00CD4BDB">
      <w:pPr>
        <w:pStyle w:val="NormalWeb"/>
        <w:ind w:left="480" w:hanging="480"/>
        <w:jc w:val="both"/>
      </w:pPr>
      <w:r w:rsidRPr="00CD4BDB">
        <w:t xml:space="preserve">Zhou, Y., Ren, J., &amp; Zheng, X. (2024). Feeding for a brighter future: The long-term </w:t>
      </w:r>
      <w:proofErr w:type="spellStart"/>
      <w:r w:rsidRPr="00CD4BDB">
        <w:t>labor</w:t>
      </w:r>
      <w:proofErr w:type="spellEnd"/>
      <w:r w:rsidRPr="00CD4BDB">
        <w:t xml:space="preserve"> market consequences of school meals in rural China. </w:t>
      </w:r>
      <w:r w:rsidRPr="00CD4BDB">
        <w:rPr>
          <w:i/>
          <w:iCs/>
        </w:rPr>
        <w:t>Economics and Human Biology</w:t>
      </w:r>
      <w:r w:rsidRPr="00CD4BDB">
        <w:t xml:space="preserve">, </w:t>
      </w:r>
      <w:r w:rsidRPr="00CD4BDB">
        <w:rPr>
          <w:i/>
          <w:iCs/>
        </w:rPr>
        <w:t>52</w:t>
      </w:r>
      <w:r w:rsidRPr="00CD4BDB">
        <w:t>. https://doi.org/10.1016/j.ehb.2023.101335</w:t>
      </w:r>
    </w:p>
    <w:p w14:paraId="6D9C292E" w14:textId="77777777" w:rsidR="00A76873" w:rsidRPr="00CD4BDB" w:rsidRDefault="00A76873" w:rsidP="00CD4BDB">
      <w:pPr>
        <w:jc w:val="both"/>
        <w:rPr>
          <w:rFonts w:ascii="Times New Roman" w:hAnsi="Times New Roman" w:cs="Times New Roman"/>
          <w:sz w:val="24"/>
          <w:szCs w:val="24"/>
        </w:rPr>
      </w:pPr>
    </w:p>
    <w:sectPr w:rsidR="00A76873" w:rsidRPr="00CD4B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13B42"/>
    <w:multiLevelType w:val="multilevel"/>
    <w:tmpl w:val="0D20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F503F4"/>
    <w:multiLevelType w:val="multilevel"/>
    <w:tmpl w:val="D070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4626D9"/>
    <w:multiLevelType w:val="multilevel"/>
    <w:tmpl w:val="1CC4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E717D9"/>
    <w:multiLevelType w:val="multilevel"/>
    <w:tmpl w:val="1D76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1952079">
    <w:abstractNumId w:val="2"/>
  </w:num>
  <w:num w:numId="2" w16cid:durableId="1349789545">
    <w:abstractNumId w:val="3"/>
  </w:num>
  <w:num w:numId="3" w16cid:durableId="2103526124">
    <w:abstractNumId w:val="1"/>
  </w:num>
  <w:num w:numId="4" w16cid:durableId="292450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943"/>
    <w:rsid w:val="00001996"/>
    <w:rsid w:val="00091BDC"/>
    <w:rsid w:val="000A2234"/>
    <w:rsid w:val="000A70CF"/>
    <w:rsid w:val="000A79F2"/>
    <w:rsid w:val="001D6980"/>
    <w:rsid w:val="0025061A"/>
    <w:rsid w:val="00273F02"/>
    <w:rsid w:val="00371F7C"/>
    <w:rsid w:val="0045439B"/>
    <w:rsid w:val="00500BB1"/>
    <w:rsid w:val="00505E38"/>
    <w:rsid w:val="005558C0"/>
    <w:rsid w:val="005A15CC"/>
    <w:rsid w:val="005E3F98"/>
    <w:rsid w:val="00674D5B"/>
    <w:rsid w:val="006F6BC5"/>
    <w:rsid w:val="006F6D74"/>
    <w:rsid w:val="00720700"/>
    <w:rsid w:val="00814DCD"/>
    <w:rsid w:val="00830557"/>
    <w:rsid w:val="008954CF"/>
    <w:rsid w:val="009510E0"/>
    <w:rsid w:val="009E1C90"/>
    <w:rsid w:val="00A15F13"/>
    <w:rsid w:val="00A21D0C"/>
    <w:rsid w:val="00A67A80"/>
    <w:rsid w:val="00A76873"/>
    <w:rsid w:val="00A850DF"/>
    <w:rsid w:val="00AF0663"/>
    <w:rsid w:val="00B07943"/>
    <w:rsid w:val="00C45C70"/>
    <w:rsid w:val="00CB4338"/>
    <w:rsid w:val="00CD4BDB"/>
    <w:rsid w:val="00D007CB"/>
    <w:rsid w:val="00D035FB"/>
    <w:rsid w:val="00E26AD9"/>
    <w:rsid w:val="00F02F1F"/>
    <w:rsid w:val="00F034C9"/>
    <w:rsid w:val="00F07CE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DC80C"/>
  <w15:chartTrackingRefBased/>
  <w15:docId w15:val="{40CD2118-AA36-4689-8C08-6039CA6DB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9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079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079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79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079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079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9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9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9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9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079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79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79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079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079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9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9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943"/>
    <w:rPr>
      <w:rFonts w:eastAsiaTheme="majorEastAsia" w:cstheme="majorBidi"/>
      <w:color w:val="272727" w:themeColor="text1" w:themeTint="D8"/>
    </w:rPr>
  </w:style>
  <w:style w:type="paragraph" w:styleId="Title">
    <w:name w:val="Title"/>
    <w:basedOn w:val="Normal"/>
    <w:next w:val="Normal"/>
    <w:link w:val="TitleChar"/>
    <w:uiPriority w:val="10"/>
    <w:qFormat/>
    <w:rsid w:val="00B079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9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9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9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943"/>
    <w:pPr>
      <w:spacing w:before="160"/>
      <w:jc w:val="center"/>
    </w:pPr>
    <w:rPr>
      <w:i/>
      <w:iCs/>
      <w:color w:val="404040" w:themeColor="text1" w:themeTint="BF"/>
    </w:rPr>
  </w:style>
  <w:style w:type="character" w:customStyle="1" w:styleId="QuoteChar">
    <w:name w:val="Quote Char"/>
    <w:basedOn w:val="DefaultParagraphFont"/>
    <w:link w:val="Quote"/>
    <w:uiPriority w:val="29"/>
    <w:rsid w:val="00B07943"/>
    <w:rPr>
      <w:i/>
      <w:iCs/>
      <w:color w:val="404040" w:themeColor="text1" w:themeTint="BF"/>
    </w:rPr>
  </w:style>
  <w:style w:type="paragraph" w:styleId="ListParagraph">
    <w:name w:val="List Paragraph"/>
    <w:basedOn w:val="Normal"/>
    <w:uiPriority w:val="34"/>
    <w:qFormat/>
    <w:rsid w:val="00B07943"/>
    <w:pPr>
      <w:ind w:left="720"/>
      <w:contextualSpacing/>
    </w:pPr>
  </w:style>
  <w:style w:type="character" w:styleId="IntenseEmphasis">
    <w:name w:val="Intense Emphasis"/>
    <w:basedOn w:val="DefaultParagraphFont"/>
    <w:uiPriority w:val="21"/>
    <w:qFormat/>
    <w:rsid w:val="00B07943"/>
    <w:rPr>
      <w:i/>
      <w:iCs/>
      <w:color w:val="2F5496" w:themeColor="accent1" w:themeShade="BF"/>
    </w:rPr>
  </w:style>
  <w:style w:type="paragraph" w:styleId="IntenseQuote">
    <w:name w:val="Intense Quote"/>
    <w:basedOn w:val="Normal"/>
    <w:next w:val="Normal"/>
    <w:link w:val="IntenseQuoteChar"/>
    <w:uiPriority w:val="30"/>
    <w:qFormat/>
    <w:rsid w:val="00B079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7943"/>
    <w:rPr>
      <w:i/>
      <w:iCs/>
      <w:color w:val="2F5496" w:themeColor="accent1" w:themeShade="BF"/>
    </w:rPr>
  </w:style>
  <w:style w:type="character" w:styleId="IntenseReference">
    <w:name w:val="Intense Reference"/>
    <w:basedOn w:val="DefaultParagraphFont"/>
    <w:uiPriority w:val="32"/>
    <w:qFormat/>
    <w:rsid w:val="00B07943"/>
    <w:rPr>
      <w:b/>
      <w:bCs/>
      <w:smallCaps/>
      <w:color w:val="2F5496" w:themeColor="accent1" w:themeShade="BF"/>
      <w:spacing w:val="5"/>
    </w:rPr>
  </w:style>
  <w:style w:type="paragraph" w:styleId="NormalWeb">
    <w:name w:val="Normal (Web)"/>
    <w:basedOn w:val="Normal"/>
    <w:uiPriority w:val="99"/>
    <w:semiHidden/>
    <w:unhideWhenUsed/>
    <w:rsid w:val="00091BDC"/>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29</Pages>
  <Words>11223</Words>
  <Characters>63973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Reri Noor Amelia</dc:creator>
  <cp:keywords/>
  <dc:description/>
  <cp:lastModifiedBy>Reri Noor Amelia</cp:lastModifiedBy>
  <cp:revision>29</cp:revision>
  <dcterms:created xsi:type="dcterms:W3CDTF">2025-10-12T01:18:00Z</dcterms:created>
  <dcterms:modified xsi:type="dcterms:W3CDTF">2025-10-12T04:26:00Z</dcterms:modified>
</cp:coreProperties>
</file>